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岳阳市教育体育局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20701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报告日期：2021   年 6  月 10  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杨璨</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8805510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宋体" w:eastAsia="仿宋_GB2312" w:cs="仿宋_GB2312"/>
                <w:color w:val="000000"/>
                <w:sz w:val="22"/>
                <w:szCs w:val="22"/>
              </w:rPr>
              <w:t>84</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宋体" w:eastAsia="仿宋_GB2312" w:cs="仿宋_GB2312"/>
                <w:color w:val="000000"/>
                <w:sz w:val="22"/>
                <w:szCs w:val="22"/>
              </w:rPr>
              <w:t>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楷体_GB2312"/>
                <w:color w:val="000000"/>
                <w:kern w:val="0"/>
                <w:sz w:val="22"/>
                <w:szCs w:val="22"/>
              </w:rPr>
              <w:t>统筹规划和协调管理全市各级各类教育体育事业，负责拟订全市教育体育事业发展战略和规划、实施办法、年度计划和体制改革方案，并组织实施。指导教育教学研究和改革，负责教育体育基本信息的统计、分析和发布，指导全市教育体育系统精神文明建设工作。统筹管理本部门教育体育经费。主管全市教师和体育从业人员工作。贯彻落实《全民健身条例》，指导开展群众性体育、竞技体育、青少年体育活动，负责体育产业发展规划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pStyle w:val="9"/>
              <w:numPr>
                <w:ilvl w:val="0"/>
                <w:numId w:val="1"/>
              </w:numPr>
              <w:autoSpaceDN w:val="0"/>
              <w:spacing w:line="320" w:lineRule="exact"/>
              <w:ind w:firstLineChars="0"/>
              <w:jc w:val="left"/>
              <w:textAlignment w:val="center"/>
              <w:rPr>
                <w:rFonts w:hint="eastAsia" w:ascii="仿宋_GB2312" w:hAnsi="宋体" w:eastAsia="仿宋_GB2312" w:cs="楷体_GB2312"/>
                <w:color w:val="000000"/>
                <w:kern w:val="0"/>
                <w:sz w:val="22"/>
                <w:szCs w:val="22"/>
              </w:rPr>
            </w:pPr>
            <w:r>
              <w:rPr>
                <w:rFonts w:hint="eastAsia" w:ascii="仿宋_GB2312" w:hAnsi="宋体" w:eastAsia="仿宋_GB2312" w:cs="楷体_GB2312"/>
                <w:color w:val="000000"/>
                <w:kern w:val="0"/>
                <w:sz w:val="22"/>
                <w:szCs w:val="22"/>
              </w:rPr>
              <w:t>投资5865.3万元，建设乡村小规模学校149所；投资34285.7万元，建设乡镇寄宿制学校计划151所。投资12156万元，建设农村公办幼儿园31所。</w:t>
            </w:r>
          </w:p>
          <w:p>
            <w:pPr>
              <w:pStyle w:val="9"/>
              <w:numPr>
                <w:ilvl w:val="0"/>
                <w:numId w:val="1"/>
              </w:numPr>
              <w:autoSpaceDN w:val="0"/>
              <w:spacing w:line="320" w:lineRule="exact"/>
              <w:ind w:firstLineChars="0"/>
              <w:jc w:val="left"/>
              <w:textAlignment w:val="center"/>
              <w:rPr>
                <w:rFonts w:hint="eastAsia" w:ascii="仿宋_GB2312" w:hAnsi="仿宋_GB2312" w:eastAsia="仿宋_GB2312" w:cs="仿宋_GB2312"/>
                <w:color w:val="000000"/>
                <w:sz w:val="24"/>
              </w:rPr>
            </w:pPr>
            <w:r>
              <w:rPr>
                <w:rFonts w:hint="eastAsia" w:ascii="仿宋_GB2312" w:hAnsi="宋体" w:eastAsia="仿宋_GB2312" w:cs="楷体_GB2312"/>
                <w:color w:val="000000"/>
                <w:kern w:val="0"/>
                <w:sz w:val="22"/>
                <w:szCs w:val="22"/>
              </w:rPr>
              <w:t>完成100所城镇小区配套幼儿园治理。全市增加公办园学位11840个。</w:t>
            </w:r>
          </w:p>
          <w:p>
            <w:pPr>
              <w:pStyle w:val="9"/>
              <w:numPr>
                <w:ilvl w:val="0"/>
                <w:numId w:val="1"/>
              </w:numPr>
              <w:autoSpaceDN w:val="0"/>
              <w:spacing w:line="320" w:lineRule="exact"/>
              <w:ind w:firstLineChars="0"/>
              <w:jc w:val="left"/>
              <w:textAlignment w:val="center"/>
              <w:rPr>
                <w:rFonts w:hint="eastAsia" w:ascii="仿宋_GB2312" w:hAnsi="仿宋_GB2312" w:eastAsia="仿宋_GB2312" w:cs="仿宋_GB2312"/>
                <w:color w:val="000000"/>
                <w:sz w:val="24"/>
              </w:rPr>
            </w:pPr>
            <w:r>
              <w:rPr>
                <w:rFonts w:hint="eastAsia" w:ascii="仿宋_GB2312" w:hAnsi="宋体" w:eastAsia="仿宋_GB2312" w:cs="楷体_GB2312"/>
                <w:color w:val="000000"/>
                <w:kern w:val="0"/>
                <w:sz w:val="22"/>
                <w:szCs w:val="22"/>
              </w:rPr>
              <w:t>全市消除义务教育大班额156个（省定任务112个），消除普通高中大班额133个。</w:t>
            </w:r>
          </w:p>
          <w:p>
            <w:pPr>
              <w:pStyle w:val="9"/>
              <w:numPr>
                <w:ilvl w:val="0"/>
                <w:numId w:val="1"/>
              </w:numPr>
              <w:autoSpaceDN w:val="0"/>
              <w:spacing w:line="320" w:lineRule="exact"/>
              <w:ind w:firstLineChars="0"/>
              <w:jc w:val="left"/>
              <w:textAlignment w:val="center"/>
              <w:rPr>
                <w:rFonts w:hint="eastAsia" w:ascii="仿宋_GB2312" w:hAnsi="仿宋_GB2312" w:eastAsia="仿宋_GB2312" w:cs="仿宋_GB2312"/>
                <w:color w:val="000000"/>
                <w:sz w:val="24"/>
              </w:rPr>
            </w:pPr>
            <w:r>
              <w:rPr>
                <w:rFonts w:hint="eastAsia" w:ascii="仿宋_GB2312" w:hAnsi="宋体" w:eastAsia="仿宋_GB2312" w:cs="楷体_GB2312"/>
                <w:color w:val="000000"/>
                <w:kern w:val="0"/>
                <w:sz w:val="22"/>
                <w:szCs w:val="22"/>
              </w:rPr>
              <w:t>建成社会足球场68片（省定任务）</w:t>
            </w:r>
          </w:p>
          <w:p>
            <w:pPr>
              <w:pStyle w:val="9"/>
              <w:numPr>
                <w:ilvl w:val="0"/>
                <w:numId w:val="1"/>
              </w:numPr>
              <w:autoSpaceDN w:val="0"/>
              <w:spacing w:line="320" w:lineRule="exact"/>
              <w:ind w:firstLineChars="0"/>
              <w:jc w:val="left"/>
              <w:textAlignment w:val="center"/>
              <w:rPr>
                <w:rFonts w:hint="eastAsia" w:ascii="仿宋_GB2312" w:hAnsi="仿宋_GB2312" w:eastAsia="仿宋_GB2312" w:cs="仿宋_GB2312"/>
                <w:color w:val="000000"/>
                <w:sz w:val="24"/>
              </w:rPr>
            </w:pPr>
            <w:r>
              <w:rPr>
                <w:rFonts w:hint="eastAsia" w:ascii="仿宋_GB2312" w:hAnsi="宋体" w:eastAsia="仿宋_GB2312" w:cs="楷体_GB2312"/>
                <w:color w:val="000000"/>
                <w:kern w:val="0"/>
                <w:sz w:val="22"/>
                <w:szCs w:val="22"/>
              </w:rPr>
              <w:t>启动中心城区“三大片区三年行动” 计划</w:t>
            </w:r>
          </w:p>
          <w:p>
            <w:pPr>
              <w:pStyle w:val="9"/>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eastAsia="仿宋_GB2312" w:cs="楷体_GB2312"/>
                <w:color w:val="000000"/>
                <w:sz w:val="22"/>
                <w:szCs w:val="22"/>
              </w:rPr>
              <w:t>办好最美长江（岳阳）国际马拉松赛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pStyle w:val="9"/>
              <w:autoSpaceDN w:val="0"/>
              <w:spacing w:line="320" w:lineRule="exact"/>
              <w:ind w:left="720" w:firstLine="0" w:firstLineChars="0"/>
              <w:jc w:val="left"/>
              <w:textAlignment w:val="center"/>
              <w:rPr>
                <w:rFonts w:hint="eastAsia" w:ascii="仿宋_GB2312" w:hAnsi="宋体" w:eastAsia="仿宋_GB2312" w:cs="楷体_GB2312"/>
                <w:color w:val="000000"/>
                <w:kern w:val="0"/>
                <w:sz w:val="22"/>
                <w:szCs w:val="22"/>
              </w:rPr>
            </w:pPr>
            <w:r>
              <w:rPr>
                <w:rFonts w:hint="eastAsia" w:ascii="仿宋_GB2312" w:hAnsi="宋体" w:eastAsia="仿宋_GB2312" w:cs="楷体_GB2312"/>
                <w:color w:val="000000"/>
                <w:kern w:val="0"/>
                <w:sz w:val="22"/>
                <w:szCs w:val="22"/>
              </w:rPr>
              <w:t>一、是推进招生考试改革。推动英语口语、音乐、美术人机测试，建设初中综合素质评价平台。中考信息技术由考查科目调整为考试科目。首次实施了网上招生、公民同招、摇号招生，建立全市统一的义务教育、高中阶段学校招生录取平台，义务教育取消各类特长生招生。民办学校报名人数超过招生计划，全部参加电脑随机派位，扭转了民办学校掐尖势头。</w:t>
            </w:r>
          </w:p>
          <w:p>
            <w:pPr>
              <w:pStyle w:val="9"/>
              <w:autoSpaceDN w:val="0"/>
              <w:spacing w:line="320" w:lineRule="exact"/>
              <w:ind w:left="720" w:firstLine="0" w:firstLineChars="0"/>
              <w:jc w:val="left"/>
              <w:textAlignment w:val="center"/>
              <w:rPr>
                <w:rFonts w:hint="eastAsia" w:ascii="仿宋_GB2312" w:hAnsi="宋体" w:eastAsia="仿宋_GB2312" w:cs="楷体_GB2312"/>
                <w:color w:val="000000"/>
                <w:kern w:val="0"/>
                <w:sz w:val="22"/>
                <w:szCs w:val="22"/>
              </w:rPr>
            </w:pPr>
            <w:r>
              <w:rPr>
                <w:rFonts w:hint="eastAsia" w:ascii="仿宋_GB2312" w:hAnsi="宋体" w:eastAsia="仿宋_GB2312" w:cs="楷体_GB2312"/>
                <w:color w:val="000000"/>
                <w:kern w:val="0"/>
                <w:sz w:val="22"/>
                <w:szCs w:val="22"/>
              </w:rPr>
              <w:t>二、是加快发展职业教育。认真落实</w:t>
            </w:r>
            <w:r>
              <w:rPr>
                <w:rFonts w:ascii="仿宋_GB2312" w:hAnsi="宋体" w:eastAsia="仿宋_GB2312" w:cs="楷体_GB2312"/>
                <w:color w:val="000000"/>
                <w:kern w:val="0"/>
                <w:sz w:val="22"/>
                <w:szCs w:val="22"/>
              </w:rPr>
              <w:t>《岳阳市职业教育改革实施方案》</w:t>
            </w:r>
            <w:r>
              <w:rPr>
                <w:rFonts w:hint="eastAsia" w:ascii="仿宋_GB2312" w:hAnsi="宋体" w:eastAsia="仿宋_GB2312" w:cs="楷体_GB2312"/>
                <w:color w:val="000000"/>
                <w:kern w:val="0"/>
                <w:sz w:val="22"/>
                <w:szCs w:val="22"/>
              </w:rPr>
              <w:t>，</w:t>
            </w:r>
            <w:r>
              <w:rPr>
                <w:rFonts w:ascii="仿宋_GB2312" w:hAnsi="宋体" w:eastAsia="仿宋_GB2312" w:cs="楷体_GB2312"/>
                <w:color w:val="000000"/>
                <w:kern w:val="0"/>
                <w:sz w:val="22"/>
                <w:szCs w:val="22"/>
              </w:rPr>
              <w:t>瞄准产教融合、多元办学、“双师型”教师队伍建设等重点方向</w:t>
            </w:r>
            <w:r>
              <w:rPr>
                <w:rFonts w:hint="eastAsia" w:ascii="仿宋_GB2312" w:hAnsi="宋体" w:eastAsia="仿宋_GB2312" w:cs="楷体_GB2312"/>
                <w:color w:val="000000"/>
                <w:kern w:val="0"/>
                <w:sz w:val="22"/>
                <w:szCs w:val="22"/>
              </w:rPr>
              <w:t>推进</w:t>
            </w:r>
            <w:r>
              <w:rPr>
                <w:rFonts w:ascii="仿宋_GB2312" w:hAnsi="宋体" w:eastAsia="仿宋_GB2312" w:cs="楷体_GB2312"/>
                <w:color w:val="000000"/>
                <w:kern w:val="0"/>
                <w:sz w:val="22"/>
                <w:szCs w:val="22"/>
              </w:rPr>
              <w:t>改革创新</w:t>
            </w:r>
            <w:r>
              <w:rPr>
                <w:rFonts w:hint="eastAsia" w:ascii="仿宋_GB2312" w:hAnsi="宋体" w:eastAsia="仿宋_GB2312" w:cs="楷体_GB2312"/>
                <w:color w:val="000000"/>
                <w:kern w:val="0"/>
                <w:sz w:val="22"/>
                <w:szCs w:val="22"/>
              </w:rPr>
              <w:t>。支持湘北女校升格，组建“湖南文旅职业学院”。我市“创建省级产教融合型城市”入围全省教育体制改革试点项目（全省3个）。6所中职学校开设五年一贯制专业。公办中职学校学校通过兴建教学和生活用房以及内部挖潜，增加学位2354个。参加全省中职教师职业能力竞赛，我市7个教师团队获得一等奖，其中2支教师团队将代表湖南省参加全国教师职业能力竞赛。我市</w:t>
            </w:r>
            <w:r>
              <w:rPr>
                <w:rFonts w:ascii="仿宋_GB2312" w:hAnsi="宋体" w:eastAsia="仿宋_GB2312" w:cs="楷体_GB2312"/>
                <w:color w:val="000000"/>
                <w:kern w:val="0"/>
                <w:sz w:val="22"/>
                <w:szCs w:val="22"/>
              </w:rPr>
              <w:t>11741</w:t>
            </w:r>
            <w:r>
              <w:rPr>
                <w:rFonts w:hint="eastAsia" w:ascii="仿宋_GB2312" w:hAnsi="宋体" w:eastAsia="仿宋_GB2312" w:cs="楷体_GB2312"/>
                <w:color w:val="000000"/>
                <w:kern w:val="0"/>
                <w:sz w:val="22"/>
                <w:szCs w:val="22"/>
              </w:rPr>
              <w:t>名中职二年级学生参加公共课普测，继续领跑全省排第一。</w:t>
            </w:r>
          </w:p>
          <w:p>
            <w:pPr>
              <w:pStyle w:val="9"/>
              <w:autoSpaceDN w:val="0"/>
              <w:spacing w:line="320" w:lineRule="exact"/>
              <w:ind w:left="720" w:firstLine="0" w:firstLineChars="0"/>
              <w:jc w:val="left"/>
              <w:textAlignment w:val="center"/>
              <w:rPr>
                <w:rFonts w:hint="eastAsia" w:ascii="仿宋_GB2312" w:hAnsi="宋体" w:eastAsia="仿宋_GB2312" w:cs="楷体_GB2312"/>
                <w:color w:val="000000"/>
                <w:kern w:val="0"/>
                <w:sz w:val="22"/>
                <w:szCs w:val="22"/>
              </w:rPr>
            </w:pPr>
            <w:r>
              <w:rPr>
                <w:rFonts w:hint="eastAsia" w:ascii="仿宋_GB2312" w:hAnsi="宋体" w:eastAsia="仿宋_GB2312" w:cs="楷体_GB2312"/>
                <w:color w:val="000000"/>
                <w:kern w:val="0"/>
                <w:sz w:val="22"/>
                <w:szCs w:val="22"/>
              </w:rPr>
              <w:t>三、是推动教育高质量发展。基底在筑高，持续推进“三园”创建，校园面貌改观、内涵建设提升。450所城镇学校与229农村学校结对帮扶，有力促进了区域教育均衡发展，《中国教育报》《湖南教育》等媒体进行报道，全省三区支教工作会议唯有我市</w:t>
            </w:r>
            <w:r>
              <w:rPr>
                <w:rFonts w:ascii="仿宋_GB2312" w:hAnsi="宋体" w:eastAsia="仿宋_GB2312" w:cs="楷体_GB2312"/>
                <w:color w:val="000000"/>
                <w:kern w:val="0"/>
                <w:sz w:val="22"/>
                <w:szCs w:val="22"/>
              </w:rPr>
              <w:t>2</w:t>
            </w:r>
            <w:r>
              <w:rPr>
                <w:rFonts w:hint="eastAsia" w:ascii="仿宋_GB2312" w:hAnsi="宋体" w:eastAsia="仿宋_GB2312" w:cs="楷体_GB2312"/>
                <w:color w:val="000000"/>
                <w:kern w:val="0"/>
                <w:sz w:val="22"/>
                <w:szCs w:val="22"/>
              </w:rPr>
              <w:t>名代表发言。出口在向好，“强基、壮腰、筑梦”教育提质强力推进，高考、学考、中考平安顺利，高考成绩显著提升。2020年高考，</w:t>
            </w:r>
            <w:r>
              <w:rPr>
                <w:rFonts w:ascii="仿宋_GB2312" w:hAnsi="宋体" w:eastAsia="仿宋_GB2312" w:cs="楷体_GB2312"/>
                <w:color w:val="000000"/>
                <w:kern w:val="0"/>
                <w:sz w:val="22"/>
                <w:szCs w:val="22"/>
              </w:rPr>
              <w:t>600</w:t>
            </w:r>
            <w:r>
              <w:rPr>
                <w:rFonts w:hint="eastAsia" w:ascii="仿宋_GB2312" w:hAnsi="宋体" w:eastAsia="仿宋_GB2312" w:cs="楷体_GB2312"/>
                <w:color w:val="000000"/>
                <w:kern w:val="0"/>
                <w:sz w:val="22"/>
                <w:szCs w:val="22"/>
              </w:rPr>
              <w:t>分以上人数同比增加</w:t>
            </w:r>
            <w:r>
              <w:rPr>
                <w:rFonts w:ascii="仿宋_GB2312" w:hAnsi="宋体" w:eastAsia="仿宋_GB2312" w:cs="楷体_GB2312"/>
                <w:color w:val="000000"/>
                <w:kern w:val="0"/>
                <w:sz w:val="22"/>
                <w:szCs w:val="22"/>
              </w:rPr>
              <w:t>127%</w:t>
            </w:r>
            <w:r>
              <w:rPr>
                <w:rFonts w:hint="eastAsia" w:ascii="仿宋_GB2312" w:hAnsi="宋体" w:eastAsia="仿宋_GB2312" w:cs="楷体_GB2312"/>
                <w:color w:val="000000"/>
                <w:kern w:val="0"/>
                <w:sz w:val="22"/>
                <w:szCs w:val="22"/>
              </w:rPr>
              <w:t>，一本、二本上线率为</w:t>
            </w:r>
            <w:r>
              <w:rPr>
                <w:rFonts w:ascii="仿宋_GB2312" w:hAnsi="宋体" w:eastAsia="仿宋_GB2312" w:cs="楷体_GB2312"/>
                <w:color w:val="000000"/>
                <w:kern w:val="0"/>
                <w:sz w:val="22"/>
                <w:szCs w:val="22"/>
              </w:rPr>
              <w:t>25.26%</w:t>
            </w:r>
            <w:r>
              <w:rPr>
                <w:rFonts w:hint="eastAsia" w:ascii="仿宋_GB2312" w:hAnsi="宋体" w:eastAsia="仿宋_GB2312" w:cs="楷体_GB2312"/>
                <w:color w:val="000000"/>
                <w:kern w:val="0"/>
                <w:sz w:val="22"/>
                <w:szCs w:val="22"/>
              </w:rPr>
              <w:t>、</w:t>
            </w:r>
            <w:r>
              <w:rPr>
                <w:rFonts w:ascii="仿宋_GB2312" w:hAnsi="宋体" w:eastAsia="仿宋_GB2312" w:cs="楷体_GB2312"/>
                <w:color w:val="000000"/>
                <w:kern w:val="0"/>
                <w:sz w:val="22"/>
                <w:szCs w:val="22"/>
              </w:rPr>
              <w:t>47.31%</w:t>
            </w:r>
            <w:r>
              <w:rPr>
                <w:rFonts w:hint="eastAsia" w:ascii="仿宋_GB2312" w:hAnsi="宋体" w:eastAsia="仿宋_GB2312" w:cs="楷体_GB2312"/>
                <w:color w:val="000000"/>
                <w:kern w:val="0"/>
                <w:sz w:val="22"/>
                <w:szCs w:val="22"/>
              </w:rPr>
              <w:t>，较</w:t>
            </w:r>
            <w:r>
              <w:rPr>
                <w:rFonts w:ascii="仿宋_GB2312" w:hAnsi="宋体" w:eastAsia="仿宋_GB2312" w:cs="楷体_GB2312"/>
                <w:color w:val="000000"/>
                <w:kern w:val="0"/>
                <w:sz w:val="22"/>
                <w:szCs w:val="22"/>
              </w:rPr>
              <w:t>2019</w:t>
            </w:r>
            <w:r>
              <w:rPr>
                <w:rFonts w:hint="eastAsia" w:ascii="仿宋_GB2312" w:hAnsi="宋体" w:eastAsia="仿宋_GB2312" w:cs="楷体_GB2312"/>
                <w:color w:val="000000"/>
                <w:kern w:val="0"/>
                <w:sz w:val="22"/>
                <w:szCs w:val="22"/>
              </w:rPr>
              <w:t>年分别提高</w:t>
            </w:r>
            <w:r>
              <w:rPr>
                <w:rFonts w:ascii="仿宋_GB2312" w:hAnsi="宋体" w:eastAsia="仿宋_GB2312" w:cs="楷体_GB2312"/>
                <w:color w:val="000000"/>
                <w:kern w:val="0"/>
                <w:sz w:val="22"/>
                <w:szCs w:val="22"/>
              </w:rPr>
              <w:t>6.15%</w:t>
            </w:r>
            <w:r>
              <w:rPr>
                <w:rFonts w:hint="eastAsia" w:ascii="仿宋_GB2312" w:hAnsi="宋体" w:eastAsia="仿宋_GB2312" w:cs="楷体_GB2312"/>
                <w:color w:val="000000"/>
                <w:kern w:val="0"/>
                <w:sz w:val="22"/>
                <w:szCs w:val="22"/>
              </w:rPr>
              <w:t>、</w:t>
            </w:r>
            <w:r>
              <w:rPr>
                <w:rFonts w:ascii="仿宋_GB2312" w:hAnsi="宋体" w:eastAsia="仿宋_GB2312" w:cs="楷体_GB2312"/>
                <w:color w:val="000000"/>
                <w:kern w:val="0"/>
                <w:sz w:val="22"/>
                <w:szCs w:val="22"/>
              </w:rPr>
              <w:t>9.22%</w:t>
            </w:r>
            <w:r>
              <w:rPr>
                <w:rFonts w:hint="eastAsia" w:ascii="仿宋_GB2312" w:hAnsi="宋体" w:eastAsia="仿宋_GB2312" w:cs="楷体_GB2312"/>
                <w:color w:val="000000"/>
                <w:kern w:val="0"/>
                <w:sz w:val="22"/>
                <w:szCs w:val="22"/>
              </w:rPr>
              <w:t>。单科优秀人数全省排名较去年上升6个名次，16人上清华北大录取线，实际录取14人（2人因专业方向放弃），较去年增加10人。</w:t>
            </w:r>
          </w:p>
          <w:p>
            <w:pPr>
              <w:pStyle w:val="9"/>
              <w:autoSpaceDN w:val="0"/>
              <w:spacing w:line="320" w:lineRule="exact"/>
              <w:ind w:left="720" w:firstLine="0" w:firstLineChars="0"/>
              <w:jc w:val="left"/>
              <w:textAlignment w:val="center"/>
              <w:rPr>
                <w:rFonts w:hint="eastAsia" w:ascii="仿宋_GB2312" w:hAnsi="宋体" w:eastAsia="仿宋_GB2312" w:cs="楷体_GB2312"/>
                <w:color w:val="000000"/>
                <w:kern w:val="0"/>
                <w:sz w:val="22"/>
                <w:szCs w:val="22"/>
              </w:rPr>
            </w:pPr>
            <w:r>
              <w:rPr>
                <w:rFonts w:hint="eastAsia" w:ascii="仿宋_GB2312" w:hAnsi="宋体" w:eastAsia="仿宋_GB2312" w:cs="楷体_GB2312"/>
                <w:color w:val="000000"/>
                <w:kern w:val="0"/>
                <w:sz w:val="22"/>
                <w:szCs w:val="22"/>
              </w:rPr>
              <w:t>四、是抓好基本建设。投资5865.3万元，建设乡村小规模学校149所；投资34285.7万元，建设乡镇寄宿制学校计划151所。投资12156万元，建设农村公办幼儿园31所。基本完成了104所城镇小区配套幼儿园治理。全市累计增加公办园学位35166个，公办园在园幼儿占比53.4%，排全省第2。临湘市特校9月1日建成并投入使用，补齐了我市特殊教育短板。平江县三阳芙蓉学校、汨罗市新市星火芙蓉学校建设顺利推进。全市消除义务教育大班额156个（省定任务112个），消除普通高中大班额133个。</w:t>
            </w:r>
          </w:p>
          <w:p>
            <w:pPr>
              <w:pStyle w:val="9"/>
              <w:autoSpaceDN w:val="0"/>
              <w:spacing w:line="320" w:lineRule="exact"/>
              <w:ind w:left="720" w:firstLine="0" w:firstLineChars="0"/>
              <w:jc w:val="left"/>
              <w:textAlignment w:val="center"/>
              <w:rPr>
                <w:rFonts w:hint="eastAsia" w:ascii="仿宋_GB2312" w:hAnsi="宋体" w:eastAsia="仿宋_GB2312" w:cs="楷体_GB2312"/>
                <w:color w:val="000000"/>
                <w:kern w:val="0"/>
                <w:sz w:val="22"/>
                <w:szCs w:val="22"/>
              </w:rPr>
            </w:pPr>
            <w:r>
              <w:rPr>
                <w:rFonts w:hint="eastAsia" w:ascii="仿宋_GB2312" w:hAnsi="宋体" w:eastAsia="仿宋_GB2312" w:cs="楷体_GB2312"/>
                <w:color w:val="000000"/>
                <w:kern w:val="0"/>
                <w:sz w:val="22"/>
                <w:szCs w:val="22"/>
              </w:rPr>
              <w:t>五、是加强教师队伍建设。加强学校党建工作，强化意识形态教育。做好培训筹划，调整“国培”工作坊2个，实施省市联合立项9项。全市开设省、市、县三级工作坊研修项目</w:t>
            </w:r>
            <w:r>
              <w:rPr>
                <w:rFonts w:ascii="仿宋_GB2312" w:hAnsi="宋体" w:eastAsia="仿宋_GB2312" w:cs="楷体_GB2312"/>
                <w:color w:val="000000"/>
                <w:kern w:val="0"/>
                <w:sz w:val="22"/>
                <w:szCs w:val="22"/>
              </w:rPr>
              <w:t>47</w:t>
            </w:r>
            <w:r>
              <w:rPr>
                <w:rFonts w:hint="eastAsia" w:ascii="仿宋_GB2312" w:hAnsi="宋体" w:eastAsia="仿宋_GB2312" w:cs="楷体_GB2312"/>
                <w:color w:val="000000"/>
                <w:kern w:val="0"/>
                <w:sz w:val="22"/>
                <w:szCs w:val="22"/>
              </w:rPr>
              <w:t>个，涉及学科</w:t>
            </w:r>
            <w:r>
              <w:rPr>
                <w:rFonts w:ascii="仿宋_GB2312" w:hAnsi="宋体" w:eastAsia="仿宋_GB2312" w:cs="楷体_GB2312"/>
                <w:color w:val="000000"/>
                <w:kern w:val="0"/>
                <w:sz w:val="22"/>
                <w:szCs w:val="22"/>
              </w:rPr>
              <w:t>19</w:t>
            </w:r>
            <w:r>
              <w:rPr>
                <w:rFonts w:hint="eastAsia" w:ascii="仿宋_GB2312" w:hAnsi="宋体" w:eastAsia="仿宋_GB2312" w:cs="楷体_GB2312"/>
                <w:color w:val="000000"/>
                <w:kern w:val="0"/>
                <w:sz w:val="22"/>
                <w:szCs w:val="22"/>
              </w:rPr>
              <w:t>个，参训教师</w:t>
            </w:r>
            <w:r>
              <w:rPr>
                <w:rFonts w:ascii="仿宋_GB2312" w:hAnsi="宋体" w:eastAsia="仿宋_GB2312" w:cs="楷体_GB2312"/>
                <w:color w:val="000000"/>
                <w:kern w:val="0"/>
                <w:sz w:val="22"/>
                <w:szCs w:val="22"/>
              </w:rPr>
              <w:t>3060</w:t>
            </w:r>
            <w:r>
              <w:rPr>
                <w:rFonts w:hint="eastAsia" w:ascii="仿宋_GB2312" w:hAnsi="宋体" w:eastAsia="仿宋_GB2312" w:cs="楷体_GB2312"/>
                <w:color w:val="000000"/>
                <w:kern w:val="0"/>
                <w:sz w:val="22"/>
                <w:szCs w:val="22"/>
              </w:rPr>
              <w:t>人。全年国培省培市培教师万人次以上。落实公费定向招生计划1327个（含新增市级计划），较去年增长83.8%。临湘市的加入，实现了县市区定向招生全覆盖。</w:t>
            </w:r>
          </w:p>
          <w:p>
            <w:pPr>
              <w:pStyle w:val="9"/>
              <w:autoSpaceDN w:val="0"/>
              <w:spacing w:line="320" w:lineRule="exact"/>
              <w:ind w:left="720" w:firstLine="0" w:firstLineChars="0"/>
              <w:jc w:val="left"/>
              <w:textAlignment w:val="center"/>
              <w:rPr>
                <w:rFonts w:hint="eastAsia" w:ascii="仿宋_GB2312" w:hAnsi="宋体" w:eastAsia="仿宋_GB2312" w:cs="楷体_GB2312"/>
                <w:color w:val="000000"/>
                <w:kern w:val="0"/>
                <w:sz w:val="22"/>
                <w:szCs w:val="22"/>
              </w:rPr>
            </w:pPr>
            <w:r>
              <w:rPr>
                <w:rFonts w:hint="eastAsia" w:ascii="仿宋_GB2312" w:hAnsi="宋体" w:eastAsia="仿宋_GB2312" w:cs="楷体_GB2312"/>
                <w:color w:val="000000"/>
                <w:kern w:val="0"/>
                <w:sz w:val="22"/>
                <w:szCs w:val="22"/>
              </w:rPr>
              <w:t>六、是大力发展体育事业。经与市发改委通力协作，成功申报岳阳市为全国社会足球场重点推进城市，争取国家资金</w:t>
            </w:r>
            <w:r>
              <w:rPr>
                <w:rFonts w:ascii="仿宋_GB2312" w:hAnsi="宋体" w:eastAsia="仿宋_GB2312" w:cs="楷体_GB2312"/>
                <w:color w:val="000000"/>
                <w:kern w:val="0"/>
                <w:sz w:val="22"/>
                <w:szCs w:val="22"/>
              </w:rPr>
              <w:t>3906</w:t>
            </w:r>
            <w:r>
              <w:rPr>
                <w:rFonts w:hint="eastAsia" w:ascii="仿宋_GB2312" w:hAnsi="宋体" w:eastAsia="仿宋_GB2312" w:cs="楷体_GB2312"/>
                <w:color w:val="000000"/>
                <w:kern w:val="0"/>
                <w:sz w:val="22"/>
                <w:szCs w:val="22"/>
              </w:rPr>
              <w:t>万元，建成社会足球场</w:t>
            </w:r>
            <w:r>
              <w:rPr>
                <w:rFonts w:ascii="仿宋_GB2312" w:hAnsi="宋体" w:eastAsia="仿宋_GB2312" w:cs="楷体_GB2312"/>
                <w:color w:val="000000"/>
                <w:kern w:val="0"/>
                <w:sz w:val="22"/>
                <w:szCs w:val="22"/>
              </w:rPr>
              <w:t>71</w:t>
            </w:r>
            <w:r>
              <w:rPr>
                <w:rFonts w:hint="eastAsia" w:ascii="仿宋_GB2312" w:hAnsi="宋体" w:eastAsia="仿宋_GB2312" w:cs="楷体_GB2312"/>
                <w:color w:val="000000"/>
                <w:kern w:val="0"/>
                <w:sz w:val="22"/>
                <w:szCs w:val="22"/>
              </w:rPr>
              <w:t>片，省定任务完成率</w:t>
            </w:r>
            <w:r>
              <w:rPr>
                <w:rFonts w:ascii="仿宋_GB2312" w:hAnsi="宋体" w:eastAsia="仿宋_GB2312" w:cs="楷体_GB2312"/>
                <w:color w:val="000000"/>
                <w:kern w:val="0"/>
                <w:sz w:val="22"/>
                <w:szCs w:val="22"/>
              </w:rPr>
              <w:t>104.4%</w:t>
            </w:r>
            <w:r>
              <w:rPr>
                <w:rFonts w:hint="eastAsia" w:ascii="仿宋_GB2312" w:hAnsi="宋体" w:eastAsia="仿宋_GB2312" w:cs="楷体_GB2312"/>
                <w:color w:val="000000"/>
                <w:kern w:val="0"/>
                <w:sz w:val="22"/>
                <w:szCs w:val="22"/>
              </w:rPr>
              <w:t>。省十四运会场馆建设稳步推进，经市政府研究决定，项目全部移交至市交建投公司负责。全市体育场地面积</w:t>
            </w:r>
            <w:r>
              <w:rPr>
                <w:rFonts w:ascii="仿宋_GB2312" w:hAnsi="宋体" w:eastAsia="仿宋_GB2312" w:cs="楷体_GB2312"/>
                <w:color w:val="000000"/>
                <w:kern w:val="0"/>
                <w:sz w:val="22"/>
                <w:szCs w:val="22"/>
              </w:rPr>
              <w:t>584.6495</w:t>
            </w:r>
            <w:r>
              <w:rPr>
                <w:rFonts w:hint="eastAsia" w:ascii="仿宋_GB2312" w:hAnsi="宋体" w:eastAsia="仿宋_GB2312" w:cs="楷体_GB2312"/>
                <w:color w:val="000000"/>
                <w:kern w:val="0"/>
                <w:sz w:val="22"/>
                <w:szCs w:val="22"/>
              </w:rPr>
              <w:t>万平方米，人均体育场地面积达</w:t>
            </w:r>
            <w:r>
              <w:rPr>
                <w:rFonts w:ascii="仿宋_GB2312" w:hAnsi="宋体" w:eastAsia="仿宋_GB2312" w:cs="楷体_GB2312"/>
                <w:color w:val="000000"/>
                <w:kern w:val="0"/>
                <w:sz w:val="22"/>
                <w:szCs w:val="22"/>
              </w:rPr>
              <w:t>1.02</w:t>
            </w:r>
            <w:r>
              <w:rPr>
                <w:rFonts w:hint="eastAsia" w:ascii="仿宋_GB2312" w:hAnsi="宋体" w:eastAsia="仿宋_GB2312" w:cs="楷体_GB2312"/>
                <w:color w:val="000000"/>
                <w:kern w:val="0"/>
                <w:sz w:val="22"/>
                <w:szCs w:val="22"/>
              </w:rPr>
              <w:t>平方米。办好了最美长江（岳阳）马拉松赛、环洞庭湖新能源汽车拉力赛、</w:t>
            </w:r>
            <w:r>
              <w:rPr>
                <w:rFonts w:ascii="仿宋_GB2312" w:hAnsi="宋体" w:eastAsia="仿宋_GB2312" w:cs="楷体_GB2312"/>
                <w:color w:val="000000"/>
                <w:kern w:val="0"/>
                <w:sz w:val="22"/>
                <w:szCs w:val="22"/>
              </w:rPr>
              <w:t>2020</w:t>
            </w:r>
            <w:r>
              <w:rPr>
                <w:rFonts w:hint="eastAsia" w:ascii="仿宋_GB2312" w:hAnsi="宋体" w:eastAsia="仿宋_GB2312" w:cs="楷体_GB2312"/>
                <w:color w:val="000000"/>
                <w:kern w:val="0"/>
                <w:sz w:val="22"/>
                <w:szCs w:val="22"/>
              </w:rPr>
              <w:t>“薪火传承</w:t>
            </w:r>
            <w:r>
              <w:rPr>
                <w:rFonts w:ascii="仿宋_GB2312" w:hAnsi="宋体" w:eastAsia="仿宋_GB2312" w:cs="楷体_GB2312"/>
                <w:color w:val="000000"/>
                <w:kern w:val="0"/>
                <w:sz w:val="22"/>
                <w:szCs w:val="22"/>
              </w:rPr>
              <w:t>.</w:t>
            </w:r>
            <w:r>
              <w:rPr>
                <w:rFonts w:hint="eastAsia" w:ascii="仿宋_GB2312" w:hAnsi="宋体" w:eastAsia="仿宋_GB2312" w:cs="楷体_GB2312"/>
                <w:color w:val="000000"/>
                <w:kern w:val="0"/>
                <w:sz w:val="22"/>
                <w:szCs w:val="22"/>
              </w:rPr>
              <w:t>中国健康跑中国健康跑</w:t>
            </w:r>
            <w:r>
              <w:rPr>
                <w:rFonts w:ascii="仿宋_GB2312" w:hAnsi="宋体" w:eastAsia="仿宋_GB2312" w:cs="楷体_GB2312"/>
                <w:color w:val="000000"/>
                <w:kern w:val="0"/>
                <w:sz w:val="22"/>
                <w:szCs w:val="22"/>
              </w:rPr>
              <w:t>-</w:t>
            </w:r>
            <w:r>
              <w:rPr>
                <w:rFonts w:hint="eastAsia" w:ascii="仿宋_GB2312" w:hAnsi="宋体" w:eastAsia="仿宋_GB2312" w:cs="楷体_GB2312"/>
                <w:color w:val="000000"/>
                <w:kern w:val="0"/>
                <w:sz w:val="22"/>
                <w:szCs w:val="22"/>
              </w:rPr>
              <w:t>平江站、</w:t>
            </w:r>
            <w:r>
              <w:rPr>
                <w:rFonts w:ascii="仿宋_GB2312" w:hAnsi="宋体" w:eastAsia="仿宋_GB2312" w:cs="楷体_GB2312"/>
                <w:color w:val="000000"/>
                <w:kern w:val="0"/>
                <w:sz w:val="22"/>
                <w:szCs w:val="22"/>
              </w:rPr>
              <w:t>2020</w:t>
            </w:r>
            <w:r>
              <w:rPr>
                <w:rFonts w:hint="eastAsia" w:ascii="仿宋_GB2312" w:hAnsi="宋体" w:eastAsia="仿宋_GB2312" w:cs="楷体_GB2312"/>
                <w:color w:val="000000"/>
                <w:kern w:val="0"/>
                <w:sz w:val="22"/>
                <w:szCs w:val="22"/>
              </w:rPr>
              <w:t>健康奔小康</w:t>
            </w:r>
            <w:r>
              <w:rPr>
                <w:rFonts w:ascii="仿宋_GB2312" w:hAnsi="宋体" w:eastAsia="仿宋_GB2312" w:cs="楷体_GB2312"/>
                <w:color w:val="000000"/>
                <w:kern w:val="0"/>
                <w:sz w:val="22"/>
                <w:szCs w:val="22"/>
              </w:rPr>
              <w:t>-</w:t>
            </w:r>
            <w:r>
              <w:rPr>
                <w:rFonts w:hint="eastAsia" w:ascii="仿宋_GB2312" w:hAnsi="宋体" w:eastAsia="仿宋_GB2312" w:cs="楷体_GB2312"/>
                <w:color w:val="000000"/>
                <w:kern w:val="0"/>
                <w:sz w:val="22"/>
                <w:szCs w:val="22"/>
              </w:rPr>
              <w:t>岳阳麻布山越野赛、</w:t>
            </w:r>
            <w:r>
              <w:rPr>
                <w:rFonts w:ascii="仿宋_GB2312" w:hAnsi="宋体" w:eastAsia="仿宋_GB2312" w:cs="楷体_GB2312"/>
                <w:color w:val="000000"/>
                <w:kern w:val="0"/>
                <w:sz w:val="22"/>
                <w:szCs w:val="22"/>
              </w:rPr>
              <w:t>2020</w:t>
            </w:r>
            <w:r>
              <w:rPr>
                <w:rFonts w:hint="eastAsia" w:ascii="仿宋_GB2312" w:hAnsi="宋体" w:eastAsia="仿宋_GB2312" w:cs="楷体_GB2312"/>
                <w:color w:val="000000"/>
                <w:kern w:val="0"/>
                <w:sz w:val="22"/>
                <w:szCs w:val="22"/>
              </w:rPr>
              <w:t>湖南省第二届环洞庭湖自行车邀请赛、君山户外休闲大赛。我市选手</w:t>
            </w:r>
            <w:r>
              <w:rPr>
                <w:rFonts w:ascii="仿宋_GB2312" w:hAnsi="宋体" w:eastAsia="仿宋_GB2312" w:cs="楷体_GB2312"/>
                <w:color w:val="000000"/>
                <w:kern w:val="0"/>
                <w:sz w:val="22"/>
                <w:szCs w:val="22"/>
              </w:rPr>
              <w:t>周昊在全国飞碟射击冠军赛上夺冠</w:t>
            </w:r>
            <w:r>
              <w:rPr>
                <w:rFonts w:hint="eastAsia" w:ascii="仿宋_GB2312" w:hAnsi="宋体" w:eastAsia="仿宋_GB2312" w:cs="楷体_GB2312"/>
                <w:color w:val="000000"/>
                <w:kern w:val="0"/>
                <w:sz w:val="22"/>
                <w:szCs w:val="22"/>
              </w:rPr>
              <w:t>并破</w:t>
            </w:r>
            <w:r>
              <w:rPr>
                <w:rFonts w:ascii="仿宋_GB2312" w:hAnsi="宋体" w:eastAsia="仿宋_GB2312" w:cs="楷体_GB2312"/>
                <w:color w:val="000000"/>
                <w:kern w:val="0"/>
                <w:sz w:val="22"/>
                <w:szCs w:val="22"/>
              </w:rPr>
              <w:t>世界纪录</w:t>
            </w:r>
            <w:r>
              <w:rPr>
                <w:rFonts w:hint="eastAsia" w:ascii="仿宋_GB2312" w:hAnsi="宋体" w:eastAsia="仿宋_GB2312" w:cs="楷体_GB2312"/>
                <w:color w:val="000000"/>
                <w:kern w:val="0"/>
                <w:sz w:val="22"/>
                <w:szCs w:val="22"/>
              </w:rPr>
              <w:t>。</w:t>
            </w:r>
          </w:p>
          <w:p>
            <w:pPr>
              <w:autoSpaceDN w:val="0"/>
              <w:spacing w:line="320" w:lineRule="exact"/>
              <w:jc w:val="left"/>
              <w:textAlignment w:val="center"/>
              <w:rPr>
                <w:rFonts w:ascii="仿宋_GB2312" w:hAnsi="宋体" w:eastAsia="仿宋_GB2312" w:cs="楷体_GB2312"/>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7879.97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545.54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6881.43</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453</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575</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7879.97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545.54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6881.43</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453</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575</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jc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4523.1</w:t>
            </w:r>
          </w:p>
        </w:tc>
        <w:tc>
          <w:tcPr>
            <w:tcW w:w="1355" w:type="dxa"/>
            <w:gridSpan w:val="2"/>
            <w:tcBorders>
              <w:left w:val="single" w:color="auto" w:sz="4" w:space="0"/>
            </w:tcBorders>
            <w:vAlign w:val="center"/>
          </w:tcPr>
          <w:p>
            <w:pPr>
              <w:jc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2160.09</w:t>
            </w:r>
          </w:p>
        </w:tc>
        <w:tc>
          <w:tcPr>
            <w:tcW w:w="1080" w:type="dxa"/>
            <w:gridSpan w:val="2"/>
            <w:vAlign w:val="center"/>
          </w:tcPr>
          <w:p>
            <w:pPr>
              <w:jc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1434.3</w:t>
            </w:r>
          </w:p>
        </w:tc>
        <w:tc>
          <w:tcPr>
            <w:tcW w:w="2160" w:type="dxa"/>
            <w:gridSpan w:val="4"/>
            <w:vAlign w:val="center"/>
          </w:tcPr>
          <w:p>
            <w:pPr>
              <w:jc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725.79</w:t>
            </w:r>
          </w:p>
        </w:tc>
        <w:tc>
          <w:tcPr>
            <w:tcW w:w="1080" w:type="dxa"/>
            <w:vAlign w:val="center"/>
          </w:tcPr>
          <w:p>
            <w:pPr>
              <w:jc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2363.01</w:t>
            </w:r>
          </w:p>
        </w:tc>
        <w:tc>
          <w:tcPr>
            <w:tcW w:w="720" w:type="dxa"/>
            <w:gridSpan w:val="3"/>
            <w:tcBorders>
              <w:right w:val="single" w:color="auto" w:sz="4" w:space="0"/>
            </w:tcBorders>
            <w:vAlign w:val="center"/>
          </w:tcPr>
          <w:p>
            <w:pPr>
              <w:rPr>
                <w:rFonts w:hint="eastAsia" w:ascii="宋体" w:hAnsi="宋体" w:cs="宋体"/>
                <w:color w:val="000000"/>
                <w:sz w:val="22"/>
                <w:szCs w:val="22"/>
              </w:rPr>
            </w:pPr>
            <w:r>
              <w:rPr>
                <w:rFonts w:hint="eastAsia" w:ascii="宋体" w:hAnsi="宋体" w:cs="宋体"/>
                <w:color w:val="000000"/>
                <w:sz w:val="22"/>
                <w:szCs w:val="22"/>
              </w:rPr>
              <w:t>1323.2</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jc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4523.1</w:t>
            </w:r>
          </w:p>
        </w:tc>
        <w:tc>
          <w:tcPr>
            <w:tcW w:w="1355" w:type="dxa"/>
            <w:gridSpan w:val="2"/>
            <w:tcBorders>
              <w:left w:val="single" w:color="auto" w:sz="4" w:space="0"/>
            </w:tcBorders>
            <w:vAlign w:val="center"/>
          </w:tcPr>
          <w:p>
            <w:pPr>
              <w:jc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2160.09</w:t>
            </w:r>
          </w:p>
        </w:tc>
        <w:tc>
          <w:tcPr>
            <w:tcW w:w="1080" w:type="dxa"/>
            <w:gridSpan w:val="2"/>
            <w:vAlign w:val="center"/>
          </w:tcPr>
          <w:p>
            <w:pPr>
              <w:jc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1434.3</w:t>
            </w:r>
          </w:p>
        </w:tc>
        <w:tc>
          <w:tcPr>
            <w:tcW w:w="2160" w:type="dxa"/>
            <w:gridSpan w:val="4"/>
            <w:vAlign w:val="center"/>
          </w:tcPr>
          <w:p>
            <w:pPr>
              <w:jc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725.79</w:t>
            </w:r>
          </w:p>
        </w:tc>
        <w:tc>
          <w:tcPr>
            <w:tcW w:w="1080" w:type="dxa"/>
            <w:vAlign w:val="center"/>
          </w:tcPr>
          <w:p>
            <w:pPr>
              <w:jc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2363.01</w:t>
            </w:r>
          </w:p>
        </w:tc>
        <w:tc>
          <w:tcPr>
            <w:tcW w:w="720" w:type="dxa"/>
            <w:gridSpan w:val="3"/>
            <w:tcBorders>
              <w:right w:val="single" w:color="auto" w:sz="4" w:space="0"/>
            </w:tcBorders>
            <w:vAlign w:val="center"/>
          </w:tcPr>
          <w:p>
            <w:pPr>
              <w:rPr>
                <w:rFonts w:hint="eastAsia" w:ascii="宋体" w:hAnsi="宋体" w:cs="宋体"/>
                <w:color w:val="000000"/>
                <w:sz w:val="22"/>
                <w:szCs w:val="22"/>
              </w:rPr>
            </w:pPr>
            <w:r>
              <w:rPr>
                <w:rFonts w:hint="eastAsia" w:ascii="宋体" w:hAnsi="宋体" w:cs="宋体"/>
                <w:color w:val="000000"/>
                <w:sz w:val="22"/>
                <w:szCs w:val="22"/>
              </w:rPr>
              <w:t>1323.2</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21.99</w:t>
            </w:r>
          </w:p>
        </w:tc>
        <w:tc>
          <w:tcPr>
            <w:tcW w:w="1355" w:type="dxa"/>
            <w:gridSpan w:val="2"/>
            <w:tcBorders>
              <w:left w:val="single" w:color="auto" w:sz="4" w:space="0"/>
            </w:tcBorders>
            <w:vAlign w:val="center"/>
          </w:tcPr>
          <w:p>
            <w:pP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19.12</w:t>
            </w:r>
          </w:p>
        </w:tc>
        <w:tc>
          <w:tcPr>
            <w:tcW w:w="1080" w:type="dxa"/>
            <w:gridSpan w:val="2"/>
            <w:vAlign w:val="bottom"/>
          </w:tcPr>
          <w:p>
            <w:pP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2.87</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21.99</w:t>
            </w:r>
          </w:p>
        </w:tc>
        <w:tc>
          <w:tcPr>
            <w:tcW w:w="1355" w:type="dxa"/>
            <w:gridSpan w:val="2"/>
            <w:tcBorders>
              <w:left w:val="single" w:color="auto" w:sz="4" w:space="0"/>
            </w:tcBorders>
            <w:vAlign w:val="center"/>
          </w:tcPr>
          <w:p>
            <w:pP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19.12</w:t>
            </w:r>
          </w:p>
        </w:tc>
        <w:tc>
          <w:tcPr>
            <w:tcW w:w="1080" w:type="dxa"/>
            <w:gridSpan w:val="2"/>
            <w:vAlign w:val="bottom"/>
          </w:tcPr>
          <w:p>
            <w:pP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2.87</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1534.16</w:t>
            </w:r>
          </w:p>
        </w:tc>
        <w:tc>
          <w:tcPr>
            <w:tcW w:w="2435" w:type="dxa"/>
            <w:gridSpan w:val="4"/>
            <w:tcBorders>
              <w:left w:val="single" w:color="auto" w:sz="4" w:space="0"/>
            </w:tcBorders>
            <w:vAlign w:val="center"/>
          </w:tcPr>
          <w:p>
            <w:pPr>
              <w:jc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1534.16</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1534.16</w:t>
            </w:r>
          </w:p>
        </w:tc>
        <w:tc>
          <w:tcPr>
            <w:tcW w:w="2435" w:type="dxa"/>
            <w:gridSpan w:val="4"/>
            <w:tcBorders>
              <w:left w:val="single" w:color="auto" w:sz="4" w:space="0"/>
            </w:tcBorders>
            <w:vAlign w:val="center"/>
          </w:tcPr>
          <w:p>
            <w:pPr>
              <w:jc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1534.16</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目标1：完成教育事业年度发展任务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目标2：完成体育事业年度发展任务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目标3：完成全市中心工作</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全民完成了年度教育体育事业和全市中心工作发展任务</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宋体" w:eastAsia="仿宋_GB2312" w:cs="楷体_GB2312"/>
                <w:color w:val="000000"/>
                <w:kern w:val="0"/>
                <w:sz w:val="22"/>
                <w:szCs w:val="22"/>
              </w:rPr>
              <w:t>投资5865.3万元，建设乡村小规模学校149所；投资34285.7万元，建设乡镇寄宿制学校计划151所。投资12156万元，建设农村公办幼儿园31所基本完成了104所城镇小区配套幼儿园治理</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宋体" w:eastAsia="仿宋_GB2312" w:cs="楷体_GB2312"/>
                <w:color w:val="000000"/>
                <w:kern w:val="0"/>
                <w:sz w:val="22"/>
                <w:szCs w:val="22"/>
              </w:rPr>
              <w:t>。全市累计增加公办园学位35166个，公办园在园幼儿占比53.4%，排全省第2。临湘市特校9月1日建成并投入使用，补齐了我市特殊教育短板。平江县三阳芙蓉学校、汨罗市新市星火芙蓉学校建设顺利推进。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宋体" w:eastAsia="仿宋_GB2312" w:cs="楷体_GB2312"/>
                <w:color w:val="000000"/>
                <w:kern w:val="0"/>
                <w:sz w:val="22"/>
                <w:szCs w:val="22"/>
              </w:rPr>
              <w:t>建成社会足球场68片（省定任务）</w:t>
            </w:r>
          </w:p>
        </w:tc>
        <w:tc>
          <w:tcPr>
            <w:tcW w:w="2684" w:type="dxa"/>
            <w:gridSpan w:val="6"/>
            <w:vMerge w:val="restart"/>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宋体" w:eastAsia="仿宋_GB2312" w:cs="楷体_GB2312"/>
                <w:color w:val="000000"/>
                <w:kern w:val="0"/>
                <w:sz w:val="22"/>
                <w:szCs w:val="22"/>
              </w:rPr>
              <w:t>经与市发改委通力协作，成功申报岳阳市为全国社会足球场重点推进城市，争取国家资金</w:t>
            </w:r>
            <w:r>
              <w:rPr>
                <w:rFonts w:ascii="仿宋_GB2312" w:hAnsi="宋体" w:eastAsia="仿宋_GB2312" w:cs="楷体_GB2312"/>
                <w:color w:val="000000"/>
                <w:kern w:val="0"/>
                <w:sz w:val="22"/>
                <w:szCs w:val="22"/>
              </w:rPr>
              <w:t>3906</w:t>
            </w:r>
            <w:r>
              <w:rPr>
                <w:rFonts w:hint="eastAsia" w:ascii="仿宋_GB2312" w:hAnsi="宋体" w:eastAsia="仿宋_GB2312" w:cs="楷体_GB2312"/>
                <w:color w:val="000000"/>
                <w:kern w:val="0"/>
                <w:sz w:val="22"/>
                <w:szCs w:val="22"/>
              </w:rPr>
              <w:t>万元，建成社会足球场</w:t>
            </w:r>
            <w:r>
              <w:rPr>
                <w:rFonts w:ascii="仿宋_GB2312" w:hAnsi="宋体" w:eastAsia="仿宋_GB2312" w:cs="楷体_GB2312"/>
                <w:color w:val="000000"/>
                <w:kern w:val="0"/>
                <w:sz w:val="22"/>
                <w:szCs w:val="22"/>
              </w:rPr>
              <w:t>71</w:t>
            </w:r>
            <w:r>
              <w:rPr>
                <w:rFonts w:hint="eastAsia" w:ascii="仿宋_GB2312" w:hAnsi="宋体" w:eastAsia="仿宋_GB2312" w:cs="楷体_GB2312"/>
                <w:color w:val="000000"/>
                <w:kern w:val="0"/>
                <w:sz w:val="22"/>
                <w:szCs w:val="22"/>
              </w:rPr>
              <w:t>片，省定任务完成率</w:t>
            </w:r>
            <w:r>
              <w:rPr>
                <w:rFonts w:ascii="仿宋_GB2312" w:hAnsi="宋体" w:eastAsia="仿宋_GB2312" w:cs="楷体_GB2312"/>
                <w:color w:val="000000"/>
                <w:kern w:val="0"/>
                <w:sz w:val="22"/>
                <w:szCs w:val="22"/>
              </w:rPr>
              <w:t>104.4%</w:t>
            </w:r>
            <w:r>
              <w:rPr>
                <w:rFonts w:hint="eastAsia" w:ascii="仿宋_GB2312" w:hAnsi="宋体" w:eastAsia="仿宋_GB2312" w:cs="楷体_GB2312"/>
                <w:color w:val="000000"/>
                <w:kern w:val="0"/>
                <w:sz w:val="22"/>
                <w:szCs w:val="22"/>
              </w:rPr>
              <w:t>。省十四运会场馆建设稳步推进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s="楷体_GB2312"/>
                <w:color w:val="000000"/>
                <w:sz w:val="22"/>
                <w:szCs w:val="22"/>
              </w:rPr>
              <w:t>办好最美长江（岳阳）国际马拉松赛</w:t>
            </w:r>
          </w:p>
        </w:tc>
        <w:tc>
          <w:tcPr>
            <w:tcW w:w="2684" w:type="dxa"/>
            <w:gridSpan w:val="6"/>
            <w:vMerge w:val="continue"/>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宋体" w:eastAsia="仿宋_GB2312" w:cs="楷体_GB2312"/>
                <w:color w:val="000000"/>
                <w:kern w:val="0"/>
                <w:sz w:val="22"/>
                <w:szCs w:val="22"/>
              </w:rPr>
              <w:t>启动中心城区“三大片区三年行动” 计划</w:t>
            </w:r>
          </w:p>
        </w:tc>
        <w:tc>
          <w:tcPr>
            <w:tcW w:w="2684" w:type="dxa"/>
            <w:gridSpan w:val="6"/>
            <w:vMerge w:val="continue"/>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宋体" w:eastAsia="仿宋_GB2312" w:cs="楷体_GB2312"/>
                <w:color w:val="000000"/>
                <w:kern w:val="0"/>
                <w:sz w:val="22"/>
                <w:szCs w:val="22"/>
              </w:rPr>
            </w:pPr>
            <w:r>
              <w:rPr>
                <w:rFonts w:ascii="仿宋_GB2312" w:hAnsi="宋体" w:eastAsia="仿宋_GB2312" w:cs="楷体_GB2312"/>
                <w:color w:val="000000"/>
                <w:kern w:val="0"/>
                <w:sz w:val="22"/>
                <w:szCs w:val="22"/>
              </w:rPr>
              <w:t>按时完成绩效评价</w:t>
            </w:r>
          </w:p>
        </w:tc>
        <w:tc>
          <w:tcPr>
            <w:tcW w:w="2684" w:type="dxa"/>
            <w:gridSpan w:val="6"/>
            <w:vAlign w:val="center"/>
          </w:tcPr>
          <w:p>
            <w:pPr>
              <w:autoSpaceDN w:val="0"/>
              <w:spacing w:line="320" w:lineRule="exact"/>
              <w:jc w:val="center"/>
              <w:textAlignment w:val="center"/>
              <w:rPr>
                <w:rFonts w:ascii="仿宋_GB2312" w:hAnsi="宋体" w:eastAsia="仿宋_GB2312" w:cs="楷体_GB2312"/>
                <w:color w:val="000000"/>
                <w:kern w:val="0"/>
                <w:sz w:val="22"/>
                <w:szCs w:val="22"/>
              </w:rPr>
            </w:pPr>
            <w:r>
              <w:rPr>
                <w:rFonts w:hint="eastAsia" w:ascii="仿宋_GB2312" w:hAnsi="宋体" w:eastAsia="仿宋_GB2312" w:cs="楷体_GB2312"/>
                <w:color w:val="000000"/>
                <w:kern w:val="0"/>
                <w:sz w:val="22"/>
                <w:szCs w:val="22"/>
              </w:rPr>
              <w:t>在</w:t>
            </w:r>
            <w:r>
              <w:rPr>
                <w:rFonts w:ascii="仿宋_GB2312" w:hAnsi="宋体" w:eastAsia="仿宋_GB2312" w:cs="楷体_GB2312"/>
                <w:color w:val="000000"/>
                <w:kern w:val="0"/>
                <w:sz w:val="22"/>
                <w:szCs w:val="22"/>
              </w:rPr>
              <w:t>全市年度综合绩效考评中</w:t>
            </w:r>
            <w:r>
              <w:rPr>
                <w:rFonts w:hint="eastAsia" w:ascii="仿宋_GB2312" w:hAnsi="宋体" w:eastAsia="仿宋_GB2312" w:cs="楷体_GB2312"/>
                <w:color w:val="000000"/>
                <w:kern w:val="0"/>
                <w:sz w:val="22"/>
                <w:szCs w:val="22"/>
              </w:rPr>
              <w:t>，</w:t>
            </w:r>
            <w:r>
              <w:rPr>
                <w:rFonts w:ascii="仿宋_GB2312" w:hAnsi="宋体" w:eastAsia="仿宋_GB2312" w:cs="楷体_GB2312"/>
                <w:color w:val="000000"/>
                <w:kern w:val="0"/>
                <w:sz w:val="22"/>
                <w:szCs w:val="22"/>
              </w:rPr>
              <w:t>被评为先进单位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宋体" w:eastAsia="仿宋_GB2312" w:cs="楷体_GB2312"/>
                <w:color w:val="000000"/>
                <w:kern w:val="0"/>
                <w:sz w:val="22"/>
                <w:szCs w:val="22"/>
              </w:rPr>
            </w:pPr>
            <w:r>
              <w:rPr>
                <w:rFonts w:ascii="仿宋_GB2312" w:hAnsi="宋体" w:eastAsia="仿宋_GB2312" w:cs="楷体_GB2312"/>
                <w:color w:val="000000"/>
                <w:kern w:val="0"/>
                <w:sz w:val="22"/>
                <w:szCs w:val="22"/>
              </w:rPr>
              <w:t>资金专款专用</w:t>
            </w:r>
          </w:p>
        </w:tc>
        <w:tc>
          <w:tcPr>
            <w:tcW w:w="2684" w:type="dxa"/>
            <w:gridSpan w:val="6"/>
            <w:vAlign w:val="center"/>
          </w:tcPr>
          <w:p>
            <w:pPr>
              <w:autoSpaceDN w:val="0"/>
              <w:spacing w:line="320" w:lineRule="exact"/>
              <w:jc w:val="center"/>
              <w:textAlignment w:val="center"/>
              <w:rPr>
                <w:rFonts w:ascii="仿宋_GB2312" w:hAnsi="宋体" w:eastAsia="仿宋_GB2312" w:cs="楷体_GB2312"/>
                <w:color w:val="000000"/>
                <w:kern w:val="0"/>
                <w:sz w:val="22"/>
                <w:szCs w:val="22"/>
              </w:rPr>
            </w:pPr>
            <w:r>
              <w:rPr>
                <w:rFonts w:ascii="仿宋_GB2312" w:hAnsi="宋体" w:eastAsia="仿宋_GB2312" w:cs="楷体_GB2312"/>
                <w:color w:val="000000"/>
                <w:kern w:val="0"/>
                <w:sz w:val="22"/>
                <w:szCs w:val="22"/>
              </w:rPr>
              <w:t>财政资金专款专用</w:t>
            </w:r>
            <w:r>
              <w:rPr>
                <w:rFonts w:hint="eastAsia" w:ascii="仿宋_GB2312" w:hAnsi="宋体" w:eastAsia="仿宋_GB2312" w:cs="楷体_GB2312"/>
                <w:color w:val="000000"/>
                <w:kern w:val="0"/>
                <w:sz w:val="22"/>
                <w:szCs w:val="22"/>
              </w:rPr>
              <w:t>，</w:t>
            </w:r>
            <w:r>
              <w:rPr>
                <w:rFonts w:ascii="仿宋_GB2312" w:hAnsi="宋体" w:eastAsia="仿宋_GB2312" w:cs="楷体_GB2312"/>
                <w:color w:val="000000"/>
                <w:kern w:val="0"/>
                <w:sz w:val="22"/>
                <w:szCs w:val="22"/>
              </w:rPr>
              <w:t>无挤占</w:t>
            </w:r>
            <w:r>
              <w:rPr>
                <w:rFonts w:hint="eastAsia" w:ascii="仿宋_GB2312" w:hAnsi="宋体" w:eastAsia="仿宋_GB2312" w:cs="楷体_GB2312"/>
                <w:color w:val="000000"/>
                <w:kern w:val="0"/>
                <w:sz w:val="22"/>
                <w:szCs w:val="22"/>
              </w:rPr>
              <w:t>、</w:t>
            </w:r>
            <w:r>
              <w:rPr>
                <w:rFonts w:ascii="仿宋_GB2312" w:hAnsi="宋体" w:eastAsia="仿宋_GB2312" w:cs="楷体_GB2312"/>
                <w:color w:val="000000"/>
                <w:kern w:val="0"/>
                <w:sz w:val="22"/>
                <w:szCs w:val="22"/>
              </w:rPr>
              <w:t>挪用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宋体" w:eastAsia="仿宋_GB2312" w:cs="楷体_GB2312"/>
                <w:color w:val="000000"/>
                <w:kern w:val="0"/>
                <w:sz w:val="22"/>
                <w:szCs w:val="22"/>
              </w:rPr>
            </w:pPr>
            <w:r>
              <w:rPr>
                <w:rFonts w:hint="eastAsia" w:ascii="仿宋_GB2312" w:hAnsi="宋体" w:eastAsia="仿宋_GB2312" w:cs="楷体_GB2312"/>
                <w:color w:val="000000"/>
                <w:kern w:val="0"/>
                <w:sz w:val="22"/>
                <w:szCs w:val="22"/>
              </w:rPr>
              <w:t>全市消除义务教育大班额156个（省定任务112个），消除普通高中大班额133个</w:t>
            </w:r>
          </w:p>
        </w:tc>
        <w:tc>
          <w:tcPr>
            <w:tcW w:w="2684" w:type="dxa"/>
            <w:gridSpan w:val="6"/>
            <w:vAlign w:val="center"/>
          </w:tcPr>
          <w:p>
            <w:pPr>
              <w:autoSpaceDN w:val="0"/>
              <w:spacing w:line="320" w:lineRule="exact"/>
              <w:jc w:val="center"/>
              <w:textAlignment w:val="center"/>
              <w:rPr>
                <w:rFonts w:ascii="仿宋_GB2312" w:hAnsi="宋体" w:eastAsia="仿宋_GB2312" w:cs="楷体_GB2312"/>
                <w:color w:val="000000"/>
                <w:kern w:val="0"/>
                <w:sz w:val="22"/>
                <w:szCs w:val="22"/>
              </w:rPr>
            </w:pPr>
            <w:r>
              <w:rPr>
                <w:rFonts w:ascii="仿宋_GB2312" w:hAnsi="宋体" w:eastAsia="仿宋_GB2312" w:cs="楷体_GB2312"/>
                <w:color w:val="000000"/>
                <w:kern w:val="0"/>
                <w:sz w:val="22"/>
                <w:szCs w:val="22"/>
              </w:rPr>
              <w:t>全面完成了任务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宋体" w:eastAsia="仿宋_GB2312" w:cs="楷体_GB2312"/>
                <w:color w:val="000000"/>
                <w:kern w:val="0"/>
                <w:sz w:val="22"/>
                <w:szCs w:val="22"/>
              </w:rPr>
            </w:pPr>
            <w:r>
              <w:rPr>
                <w:rFonts w:hint="eastAsia" w:ascii="仿宋_GB2312" w:hAnsi="宋体" w:eastAsia="仿宋_GB2312" w:cs="楷体_GB2312"/>
                <w:color w:val="000000"/>
                <w:kern w:val="0"/>
                <w:sz w:val="22"/>
                <w:szCs w:val="22"/>
              </w:rPr>
              <w:t>专项资金得到有效利用</w:t>
            </w:r>
          </w:p>
        </w:tc>
        <w:tc>
          <w:tcPr>
            <w:tcW w:w="2684" w:type="dxa"/>
            <w:gridSpan w:val="6"/>
            <w:vAlign w:val="center"/>
          </w:tcPr>
          <w:p>
            <w:pPr>
              <w:autoSpaceDN w:val="0"/>
              <w:spacing w:line="320" w:lineRule="exact"/>
              <w:textAlignment w:val="center"/>
              <w:rPr>
                <w:rFonts w:hint="eastAsia" w:ascii="仿宋_GB2312" w:hAnsi="宋体" w:eastAsia="仿宋_GB2312" w:cs="楷体_GB2312"/>
                <w:color w:val="000000"/>
                <w:kern w:val="0"/>
                <w:sz w:val="22"/>
                <w:szCs w:val="22"/>
              </w:rPr>
            </w:pPr>
            <w:r>
              <w:rPr>
                <w:rFonts w:hint="eastAsia" w:ascii="仿宋_GB2312" w:hAnsi="宋体" w:eastAsia="仿宋_GB2312" w:cs="楷体_GB2312"/>
                <w:color w:val="000000"/>
                <w:kern w:val="0"/>
                <w:sz w:val="22"/>
                <w:szCs w:val="22"/>
              </w:rPr>
              <w:t>资金合理安排，专款专用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宋体" w:eastAsia="仿宋_GB2312" w:cs="楷体_GB2312"/>
                <w:color w:val="000000"/>
                <w:kern w:val="0"/>
                <w:sz w:val="22"/>
                <w:szCs w:val="22"/>
              </w:rPr>
            </w:pPr>
            <w:r>
              <w:rPr>
                <w:rFonts w:hint="eastAsia" w:ascii="仿宋_GB2312" w:hAnsi="仿宋_GB2312" w:eastAsia="仿宋_GB2312" w:cs="仿宋_GB2312"/>
                <w:color w:val="000000"/>
                <w:sz w:val="24"/>
              </w:rPr>
              <w:t>改善学校办学条件和体育场馆设施</w:t>
            </w:r>
          </w:p>
        </w:tc>
        <w:tc>
          <w:tcPr>
            <w:tcW w:w="2684" w:type="dxa"/>
            <w:gridSpan w:val="6"/>
            <w:vAlign w:val="center"/>
          </w:tcPr>
          <w:p>
            <w:pPr>
              <w:rPr>
                <w:rFonts w:ascii="仿宋_GB2312" w:hAnsi="宋体" w:eastAsia="仿宋_GB2312" w:cs="楷体_GB2312"/>
                <w:color w:val="000000"/>
                <w:kern w:val="0"/>
                <w:sz w:val="22"/>
                <w:szCs w:val="22"/>
              </w:rPr>
            </w:pPr>
            <w:r>
              <w:rPr>
                <w:rFonts w:hint="eastAsia" w:ascii="仿宋_GB2312" w:hAnsi="宋体" w:eastAsia="仿宋_GB2312" w:cs="楷体_GB2312"/>
                <w:color w:val="000000"/>
                <w:kern w:val="0"/>
                <w:sz w:val="22"/>
                <w:szCs w:val="22"/>
              </w:rPr>
              <w:t>改善办学条件，均衡了生源、均衡了班额、均衡了办学力量。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宋体" w:eastAsia="仿宋_GB2312" w:cs="楷体_GB2312"/>
                <w:color w:val="000000"/>
                <w:kern w:val="0"/>
                <w:sz w:val="22"/>
                <w:szCs w:val="22"/>
              </w:rPr>
            </w:pPr>
            <w:r>
              <w:rPr>
                <w:rFonts w:hint="eastAsia" w:ascii="仿宋_GB2312" w:hAnsi="宋体" w:eastAsia="仿宋_GB2312" w:cs="楷体_GB2312"/>
                <w:color w:val="000000"/>
                <w:kern w:val="0"/>
                <w:sz w:val="22"/>
                <w:szCs w:val="22"/>
              </w:rPr>
              <w:t>公众满意度高</w:t>
            </w:r>
          </w:p>
        </w:tc>
        <w:tc>
          <w:tcPr>
            <w:tcW w:w="2684" w:type="dxa"/>
            <w:gridSpan w:val="6"/>
            <w:vAlign w:val="center"/>
          </w:tcPr>
          <w:p>
            <w:pPr>
              <w:autoSpaceDN w:val="0"/>
              <w:spacing w:line="320" w:lineRule="exact"/>
              <w:jc w:val="center"/>
              <w:textAlignment w:val="center"/>
              <w:rPr>
                <w:rFonts w:ascii="仿宋_GB2312" w:hAnsi="宋体" w:eastAsia="仿宋_GB2312" w:cs="楷体_GB2312"/>
                <w:color w:val="000000"/>
                <w:kern w:val="0"/>
                <w:sz w:val="22"/>
                <w:szCs w:val="22"/>
              </w:rPr>
            </w:pPr>
            <w:r>
              <w:rPr>
                <w:rFonts w:hint="eastAsia" w:ascii="仿宋_GB2312" w:hAnsi="宋体" w:eastAsia="仿宋_GB2312" w:cs="楷体_GB2312"/>
                <w:color w:val="000000"/>
                <w:kern w:val="0"/>
                <w:sz w:val="22"/>
                <w:szCs w:val="22"/>
              </w:rPr>
              <w:t>群众对教育体育公众满意度高，阳光招生、阳光服务得到点赞；全民健身运动深入开展，广受好评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朱新和</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党组成员</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副局长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岳阳市教育体育局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张斌</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办公室主任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岳阳市教育体育局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杨璨</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出纳</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岳阳市教育体育局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杨璨                        联系电话：8805510</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ind w:firstLine="480" w:firstLineChars="200"/>
              <w:rPr>
                <w:rFonts w:ascii="黑体" w:hAnsi="仿宋_GB2312" w:eastAsia="黑体" w:cs="仿宋_GB2312"/>
                <w:color w:val="000000"/>
                <w:sz w:val="24"/>
              </w:rPr>
            </w:pPr>
            <w:r>
              <w:rPr>
                <w:rFonts w:hint="eastAsia" w:ascii="黑体" w:hAnsi="仿宋_GB2312" w:eastAsia="黑体" w:cs="仿宋_GB2312"/>
                <w:color w:val="000000"/>
                <w:sz w:val="24"/>
              </w:rPr>
              <w:t>一、单位基本情况</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市教育体育局主要工作职能为统筹规划和协调管理全市各级各类教育体育事业，负责拟订全市教育体育事业发展战略和规划、实施办法、年度计划和体制改革方案，并组织实施。指导教育教学研究和改革，负责教育体育基本信息的统计、分析和发布，指导全市教育体育系统精神文明建设工作。统筹管理本部门教育体育经费。主管全市教师和体育从业人员工作。贯彻落实《全民健身条例》，指导开展群众性体育、竞技体育、青少年体育活动，负责体育产业发展规划和管理。局机关内设26个科室，在职在编人员84人。</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2020年度局机关截止到12月初月支出合计4523.1万元，基本支出2160.09万元，其中人员经费支出1434.3万元，公用经费支出725.79万元；项目专项支出2363.01万元。</w:t>
            </w:r>
          </w:p>
          <w:p>
            <w:pPr>
              <w:ind w:firstLine="360" w:firstLineChars="150"/>
              <w:rPr>
                <w:rFonts w:ascii="黑体" w:hAnsi="仿宋_GB2312" w:eastAsia="黑体" w:cs="仿宋_GB2312"/>
                <w:color w:val="000000"/>
                <w:sz w:val="24"/>
              </w:rPr>
            </w:pPr>
            <w:r>
              <w:rPr>
                <w:rFonts w:hint="eastAsia" w:ascii="黑体" w:hAnsi="仿宋_GB2312" w:eastAsia="黑体" w:cs="仿宋_GB2312"/>
                <w:color w:val="000000"/>
                <w:sz w:val="24"/>
              </w:rPr>
              <w:t>二、单位整体支出管理及使用情况良好</w:t>
            </w:r>
          </w:p>
          <w:p>
            <w:pPr>
              <w:spacing w:line="360" w:lineRule="auto"/>
              <w:ind w:firstLine="360" w:firstLineChars="1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金使用规范，注重绩效，支出审批程序严格，厉行节约，支出费用合理，确保了专款专用，最大限度地提高资金的使用效益。严格按照预算编制控制人员经费的使用。严格控制公用支出，所有公用支出都按照先计划再审批最后采购的原则进行。截止到12月初，局机关三公经费合计21.99万元，其中公务接待费19.12万元，公务用车运行维护费2.87万元，因公出国费0万元，三公经费控制在合理的范围内，较上年大幅减少。</w:t>
            </w:r>
          </w:p>
          <w:p>
            <w:pPr>
              <w:spacing w:line="360" w:lineRule="auto"/>
              <w:ind w:firstLine="480" w:firstLineChars="200"/>
              <w:rPr>
                <w:rFonts w:ascii="黑体" w:hAnsi="仿宋_GB2312" w:eastAsia="黑体" w:cs="仿宋_GB2312"/>
                <w:color w:val="000000"/>
                <w:sz w:val="24"/>
              </w:rPr>
            </w:pPr>
            <w:r>
              <w:rPr>
                <w:rFonts w:hint="eastAsia" w:ascii="黑体" w:hAnsi="仿宋_GB2312" w:eastAsia="黑体" w:cs="仿宋_GB2312"/>
                <w:color w:val="000000"/>
                <w:sz w:val="24"/>
              </w:rPr>
              <w:t>三、单位专项组织实施情况好</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为加强单位资金使用效率，落实好财务管理制度，我局制定了财务管理制度以及风险防控措施，在资金使用审批上按照“先审核、后签字”的原则，由财务室先行审核票据，合规票据交由领导审批，不合规票据退回科室。在专项资金的使用上，根据专项工作不同要求，合理分配专项资金使用。在专项资金使用前需填报预算报告交由领导审批，纪监、审计全程监督，确保专项资金合理使用。纪检部门加强教育体育资金监管，在保障各项工作有序开展的同时，确保每一分钱都发挥最大作用。  </w:t>
            </w:r>
          </w:p>
          <w:p>
            <w:pPr>
              <w:spacing w:line="360" w:lineRule="auto"/>
              <w:ind w:firstLine="480" w:firstLineChars="200"/>
              <w:rPr>
                <w:rFonts w:ascii="黑体" w:hAnsi="仿宋_GB2312" w:eastAsia="黑体" w:cs="仿宋_GB2312"/>
                <w:color w:val="000000"/>
                <w:sz w:val="24"/>
              </w:rPr>
            </w:pPr>
            <w:r>
              <w:rPr>
                <w:rFonts w:hint="eastAsia" w:ascii="黑体" w:hAnsi="仿宋_GB2312" w:eastAsia="黑体" w:cs="仿宋_GB2312"/>
                <w:color w:val="000000"/>
                <w:sz w:val="24"/>
              </w:rPr>
              <w:t>四、存在的主要问题</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在工作中还存在着不足，财政资金的使用方面，我们需要严格把关，杜绝一些不合理的开支。</w:t>
            </w:r>
          </w:p>
          <w:p>
            <w:pPr>
              <w:spacing w:line="360" w:lineRule="auto"/>
              <w:ind w:firstLine="480" w:firstLineChars="200"/>
              <w:rPr>
                <w:rFonts w:ascii="黑体" w:hAnsi="仿宋_GB2312" w:eastAsia="黑体" w:cs="仿宋_GB2312"/>
                <w:color w:val="000000"/>
                <w:sz w:val="24"/>
              </w:rPr>
            </w:pPr>
            <w:r>
              <w:rPr>
                <w:rFonts w:hint="eastAsia" w:ascii="黑体" w:hAnsi="仿宋_GB2312" w:eastAsia="黑体" w:cs="仿宋_GB2312"/>
                <w:color w:val="000000"/>
                <w:sz w:val="24"/>
              </w:rPr>
              <w:t>五、下一年的计划</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新的一年即将开始，我单位将继续配合财政做好预算绩效管理工作，确保财政资金合规有效地使用。</w:t>
            </w:r>
          </w:p>
          <w:p>
            <w:pPr>
              <w:spacing w:line="560" w:lineRule="exact"/>
              <w:ind w:firstLine="560" w:firstLineChars="200"/>
              <w:rPr>
                <w:rFonts w:eastAsia="楷体_GB2312"/>
                <w:bCs/>
                <w:sz w:val="28"/>
                <w:szCs w:val="2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2</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14048F"/>
    <w:multiLevelType w:val="multilevel"/>
    <w:tmpl w:val="1B14048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44D5"/>
    <w:rsid w:val="001A3909"/>
    <w:rsid w:val="001B228D"/>
    <w:rsid w:val="00257CBA"/>
    <w:rsid w:val="002E524E"/>
    <w:rsid w:val="002E6431"/>
    <w:rsid w:val="00495DBC"/>
    <w:rsid w:val="00695A49"/>
    <w:rsid w:val="008324EE"/>
    <w:rsid w:val="008C7BDE"/>
    <w:rsid w:val="00A51494"/>
    <w:rsid w:val="00BA478C"/>
    <w:rsid w:val="00CE44D5"/>
    <w:rsid w:val="00ED18FF"/>
    <w:rsid w:val="00F4483B"/>
    <w:rsid w:val="00F758AA"/>
    <w:rsid w:val="78B04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uiPriority w:val="0"/>
  </w:style>
  <w:style w:type="character" w:customStyle="1" w:styleId="7">
    <w:name w:val="页眉 Char"/>
    <w:basedOn w:val="5"/>
    <w:link w:val="3"/>
    <w:semiHidden/>
    <w:uiPriority w:val="99"/>
    <w:rPr>
      <w:sz w:val="18"/>
      <w:szCs w:val="18"/>
    </w:rPr>
  </w:style>
  <w:style w:type="character" w:customStyle="1" w:styleId="8">
    <w:name w:val="页脚 Char"/>
    <w:basedOn w:val="5"/>
    <w:link w:val="2"/>
    <w:uiPriority w:val="0"/>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762</Words>
  <Characters>4348</Characters>
  <Lines>36</Lines>
  <Paragraphs>10</Paragraphs>
  <TotalTime>61</TotalTime>
  <ScaleCrop>false</ScaleCrop>
  <LinksUpToDate>false</LinksUpToDate>
  <CharactersWithSpaces>5100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2021-06-09T01:49:00Z</dcterms:created>
  <dc:creator>uh</dc:creator>
  <cp:lastModifiedBy>German Phillip</cp:lastModifiedBy>
  <dcterms:modified xsi:type="dcterms:W3CDTF">2021-09-27T08:52:25Z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6F007BA441024551800BABAFD56B53E3</vt:lpwstr>
  </property>
</Properties>
</file>