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hint="eastAsia" w:eastAsia="黑体"/>
          <w:sz w:val="56"/>
          <w:szCs w:val="56"/>
          <w:lang w:eastAsia="zh-CN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岳阳市体育馆</w:t>
      </w:r>
      <w:r>
        <w:rPr>
          <w:rFonts w:hint="eastAsia"/>
          <w:sz w:val="84"/>
          <w:szCs w:val="84"/>
        </w:rPr>
        <w:t>部门决算</w:t>
      </w: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spacing w:line="540" w:lineRule="exact"/>
        <w:jc w:val="center"/>
        <w:rPr>
          <w:sz w:val="56"/>
          <w:szCs w:val="56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岳阳市体育馆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default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及决算单位构成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岳阳市体育馆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主要职能分四个方面：一是维护和管理场馆设施，落实《全民健身计划纲要》，为群众性体育健身和竞赛活动以及有关大型社会活动提供场地服务；二是负责承办各类体育比赛，开展全民健身体育活动和体育培训；三是负责青少年运动员的选拔和业余训练；四是开展经营创收，搞好体育产业开发，增强自我发展能力。</w:t>
      </w:r>
    </w:p>
    <w:p>
      <w:pPr>
        <w:widowControl/>
        <w:numPr>
          <w:ilvl w:val="0"/>
          <w:numId w:val="2"/>
        </w:numPr>
        <w:spacing w:line="600" w:lineRule="exac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机构设置及决算单位构成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1、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机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构设置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：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本单位2021年在编人员为22人，年未实有人数22人。共设有三部一室，为业务部、行管部、培训部及办公室。</w:t>
      </w:r>
    </w:p>
    <w:p>
      <w:pPr>
        <w:widowControl/>
        <w:numPr>
          <w:ilvl w:val="0"/>
          <w:numId w:val="0"/>
        </w:numPr>
        <w:spacing w:line="600" w:lineRule="exact"/>
        <w:ind w:firstLine="56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2、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: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岳阳市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体育馆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年部门决算汇总公开单位构成为：</w:t>
      </w:r>
      <w:r>
        <w:rPr>
          <w:rFonts w:asciiTheme="minorEastAsia" w:hAnsiTheme="minorEastAsia"/>
          <w:bCs/>
          <w:kern w:val="0"/>
          <w:sz w:val="32"/>
          <w:szCs w:val="32"/>
        </w:rPr>
        <w:t>本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年部门决算本级。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0"/>
        <w:jc w:val="both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0"/>
        <w:jc w:val="center"/>
        <w:rPr>
          <w:sz w:val="70"/>
          <w:szCs w:val="70"/>
        </w:rPr>
      </w:pPr>
    </w:p>
    <w:p>
      <w:pPr>
        <w:pStyle w:val="10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516.49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58.02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支出减少。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 w:val="0"/>
          <w:bCs w:val="0"/>
          <w:i/>
          <w:iCs/>
          <w:sz w:val="36"/>
          <w:szCs w:val="36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310.98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310.98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474.77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262.17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212.6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516.49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58.02</w:t>
      </w:r>
      <w:r>
        <w:rPr>
          <w:rFonts w:hint="eastAsia" w:asciiTheme="minorEastAsia" w:hAnsiTheme="minorEastAsia" w:eastAsiaTheme="minorEastAsia"/>
          <w:sz w:val="32"/>
          <w:szCs w:val="32"/>
        </w:rPr>
        <w:t>万元,减少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支出减少。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447.9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94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207.8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46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人员费用增加。</w:t>
      </w:r>
    </w:p>
    <w:p>
      <w:pPr>
        <w:pStyle w:val="10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0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447.9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文化旅游体育与传媒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415.44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92.7</w:t>
      </w:r>
      <w:r>
        <w:rPr>
          <w:rFonts w:hint="eastAsia" w:asciiTheme="minorEastAsia" w:hAnsiTheme="minorEastAsia" w:eastAsiaTheme="minorEastAsia"/>
          <w:sz w:val="32"/>
          <w:szCs w:val="32"/>
        </w:rPr>
        <w:t>%；教育支出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</w:t>
      </w:r>
      <w:r>
        <w:rPr>
          <w:rFonts w:hint="eastAsia" w:asciiTheme="minorEastAsia" w:hAnsiTheme="minorEastAsia" w:eastAsiaTheme="minorEastAsia"/>
          <w:sz w:val="32"/>
          <w:szCs w:val="32"/>
        </w:rPr>
        <w:t>%;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22.57万，占5%；卫生健康支出9.57万元，占2%.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214.05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447.9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209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560" w:lineRule="exact"/>
        <w:ind w:firstLine="640" w:firstLineChars="200"/>
        <w:rPr>
          <w:rFonts w:hint="eastAsia" w:ascii="宋体" w:hAnsi="Calibri" w:eastAsia="宋体"/>
          <w:sz w:val="32"/>
          <w:szCs w:val="24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文化旅游体育与传媒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）体育（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）一般行政管理事务（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。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45.52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,</w:t>
      </w:r>
      <w:r>
        <w:rPr>
          <w:rFonts w:hint="eastAsia" w:ascii="宋体" w:hAnsi="Calibri" w:eastAsia="宋体"/>
          <w:sz w:val="32"/>
          <w:szCs w:val="24"/>
          <w:shd w:val="clear" w:color="auto" w:fill="auto"/>
          <w:lang w:eastAsia="zh-CN"/>
        </w:rPr>
        <w:t>由于预算数为</w:t>
      </w:r>
      <w:r>
        <w:rPr>
          <w:rFonts w:hint="eastAsia" w:ascii="宋体" w:hAnsi="Calibri" w:eastAsia="宋体"/>
          <w:sz w:val="32"/>
          <w:szCs w:val="24"/>
          <w:shd w:val="clear" w:color="auto" w:fill="auto"/>
          <w:lang w:val="en-US" w:eastAsia="zh-CN"/>
        </w:rPr>
        <w:t>0，无法计算百分比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，</w:t>
      </w:r>
      <w:r>
        <w:rPr>
          <w:rFonts w:hint="eastAsia" w:ascii="宋体" w:hAnsi="Calibri" w:eastAsia="宋体"/>
          <w:sz w:val="32"/>
          <w:szCs w:val="24"/>
        </w:rPr>
        <w:t>决算数大于预算数的主要原因是追加安排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项目</w:t>
      </w:r>
      <w:r>
        <w:rPr>
          <w:rFonts w:hint="eastAsia" w:ascii="宋体" w:hAnsi="Calibri" w:eastAsia="宋体"/>
          <w:sz w:val="32"/>
          <w:szCs w:val="24"/>
        </w:rPr>
        <w:t>经费。</w:t>
      </w:r>
    </w:p>
    <w:p>
      <w:pPr>
        <w:pStyle w:val="10"/>
        <w:numPr>
          <w:numId w:val="0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文化旅游体育与传媒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）体育（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）体育场馆（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）。</w:t>
      </w:r>
    </w:p>
    <w:p>
      <w:pPr>
        <w:pStyle w:val="10"/>
        <w:numPr>
          <w:numId w:val="0"/>
        </w:numPr>
        <w:ind w:firstLine="320" w:firstLineChars="1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163.92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369.92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,完成预算的225.67%，</w:t>
      </w:r>
      <w:r>
        <w:rPr>
          <w:rFonts w:hint="eastAsia" w:ascii="宋体" w:hAnsi="Calibri" w:eastAsia="宋体"/>
          <w:sz w:val="32"/>
          <w:szCs w:val="24"/>
        </w:rPr>
        <w:t>决算数大于预算数的</w:t>
      </w:r>
      <w:r>
        <w:rPr>
          <w:rFonts w:hint="eastAsia" w:asciiTheme="minorEastAsia" w:hAnsiTheme="minorEastAsia" w:eastAsiaTheme="minorEastAsia"/>
          <w:sz w:val="32"/>
          <w:szCs w:val="32"/>
        </w:rPr>
        <w:t>主要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原因</w:t>
      </w:r>
      <w:r>
        <w:rPr>
          <w:rFonts w:hint="eastAsia" w:asciiTheme="minorEastAsia" w:hAnsiTheme="minorEastAsia" w:eastAsiaTheme="minorEastAsia"/>
          <w:sz w:val="32"/>
          <w:szCs w:val="32"/>
        </w:rPr>
        <w:t>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追加安排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经费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3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教育支出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</w:t>
      </w:r>
      <w:r>
        <w:rPr>
          <w:rFonts w:hint="eastAsia" w:asciiTheme="minorEastAsia" w:hAnsiTheme="minorEastAsia" w:eastAsiaTheme="minorEastAsia"/>
          <w:sz w:val="32"/>
          <w:szCs w:val="32"/>
        </w:rPr>
        <w:t>育费附加安排的支出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）其他教育费附加安排的支出。</w:t>
      </w:r>
    </w:p>
    <w:p>
      <w:pPr>
        <w:pStyle w:val="10"/>
        <w:numPr>
          <w:numId w:val="0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0.32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,</w:t>
      </w:r>
      <w:r>
        <w:rPr>
          <w:rFonts w:hint="eastAsia" w:ascii="宋体" w:hAnsi="Calibri" w:eastAsia="宋体"/>
          <w:sz w:val="32"/>
          <w:szCs w:val="24"/>
          <w:shd w:val="clear" w:color="auto" w:fill="auto"/>
          <w:lang w:eastAsia="zh-CN"/>
        </w:rPr>
        <w:t>由于预算数为</w:t>
      </w:r>
      <w:r>
        <w:rPr>
          <w:rFonts w:hint="eastAsia" w:ascii="宋体" w:hAnsi="Calibri" w:eastAsia="宋体"/>
          <w:sz w:val="32"/>
          <w:szCs w:val="24"/>
          <w:shd w:val="clear" w:color="auto" w:fill="auto"/>
          <w:lang w:val="en-US" w:eastAsia="zh-CN"/>
        </w:rPr>
        <w:t>0，无法计算百分比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，</w:t>
      </w:r>
      <w:r>
        <w:rPr>
          <w:rFonts w:hint="eastAsia" w:ascii="宋体" w:hAnsi="Calibri" w:eastAsia="宋体"/>
          <w:sz w:val="32"/>
          <w:szCs w:val="24"/>
        </w:rPr>
        <w:t>决算数大于预算数的主要原因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追加安排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经费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3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）行政事业单位养老支出（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）机关事业单位基本养老保险缴费支出（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）。</w:t>
      </w:r>
    </w:p>
    <w:p>
      <w:pPr>
        <w:pStyle w:val="10"/>
        <w:numPr>
          <w:numId w:val="0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23.83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20.43万，完成预算的85.73%，</w:t>
      </w:r>
      <w:r>
        <w:rPr>
          <w:rFonts w:hint="eastAsia" w:ascii="宋体" w:hAnsi="Calibri" w:eastAsia="宋体"/>
          <w:sz w:val="32"/>
          <w:szCs w:val="24"/>
        </w:rPr>
        <w:t>决算数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小</w:t>
      </w:r>
      <w:r>
        <w:rPr>
          <w:rFonts w:hint="eastAsia" w:ascii="宋体" w:hAnsi="Calibri" w:eastAsia="宋体"/>
          <w:sz w:val="32"/>
          <w:szCs w:val="24"/>
        </w:rPr>
        <w:t>于预算数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/>
          <w:sz w:val="32"/>
          <w:szCs w:val="32"/>
        </w:rPr>
        <w:t>主要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原因是</w:t>
      </w:r>
      <w:r>
        <w:rPr>
          <w:rFonts w:hint="eastAsia" w:asciiTheme="minorEastAsia" w:hAnsiTheme="minorEastAsia" w:eastAsiaTheme="minorEastAsia"/>
          <w:sz w:val="32"/>
          <w:szCs w:val="32"/>
        </w:rPr>
        <w:t>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人员费用减少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；</w:t>
      </w:r>
    </w:p>
    <w:p>
      <w:pPr>
        <w:pStyle w:val="10"/>
        <w:numPr>
          <w:ilvl w:val="0"/>
          <w:numId w:val="3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）残疾人事业（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）其他残疾人事业支出（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560" w:lineRule="exact"/>
        <w:ind w:left="640"/>
        <w:rPr>
          <w:rFonts w:hint="eastAsia" w:ascii="宋体" w:hAnsi="Calibri" w:eastAsia="宋体"/>
          <w:sz w:val="32"/>
          <w:szCs w:val="24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2.14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2.14万，</w:t>
      </w:r>
      <w:r>
        <w:rPr>
          <w:rFonts w:hint="eastAsia" w:ascii="宋体" w:hAnsi="宋体" w:eastAsia="宋体"/>
          <w:sz w:val="32"/>
          <w:szCs w:val="24"/>
        </w:rPr>
        <w:t>完成年初预算的100%，</w:t>
      </w:r>
      <w:r>
        <w:rPr>
          <w:rFonts w:hint="eastAsia" w:ascii="宋体" w:hAnsi="Calibri" w:eastAsia="宋体"/>
          <w:sz w:val="32"/>
          <w:szCs w:val="24"/>
        </w:rPr>
        <w:t>决算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56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Calibri" w:eastAsia="宋体"/>
          <w:sz w:val="32"/>
          <w:szCs w:val="24"/>
        </w:rPr>
        <w:t>数与预算数一致无差异。</w:t>
      </w:r>
    </w:p>
    <w:p>
      <w:pPr>
        <w:pStyle w:val="10"/>
        <w:numPr>
          <w:ilvl w:val="0"/>
          <w:numId w:val="3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卫生健康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</w:rPr>
        <w:t>行政事业单位医疗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）事业单位医疗（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</w:t>
      </w:r>
    </w:p>
    <w:p>
      <w:pPr>
        <w:pStyle w:val="10"/>
        <w:numPr>
          <w:numId w:val="0"/>
        </w:num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10.03</w:t>
      </w:r>
      <w:r>
        <w:rPr>
          <w:rFonts w:hint="eastAsia" w:asciiTheme="minorEastAsia" w:hAnsiTheme="minorEastAsia" w:eastAsiaTheme="minorEastAsia"/>
          <w:sz w:val="32"/>
          <w:szCs w:val="32"/>
        </w:rPr>
        <w:t>万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，支出</w:t>
      </w:r>
      <w:r>
        <w:rPr>
          <w:rFonts w:hint="eastAsia" w:asciiTheme="minorEastAsia" w:hAnsiTheme="minorEastAsia" w:eastAsiaTheme="minorEastAsia"/>
          <w:sz w:val="32"/>
          <w:szCs w:val="32"/>
        </w:rPr>
        <w:t>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9.57万元，</w:t>
      </w:r>
      <w:r>
        <w:rPr>
          <w:rFonts w:hint="eastAsia" w:ascii="宋体" w:hAnsi="宋体" w:eastAsia="宋体"/>
          <w:sz w:val="32"/>
          <w:szCs w:val="24"/>
        </w:rPr>
        <w:t>完成年初预算的</w:t>
      </w:r>
      <w:r>
        <w:rPr>
          <w:rFonts w:hint="eastAsia" w:ascii="宋体" w:hAnsi="宋体" w:eastAsia="宋体"/>
          <w:sz w:val="32"/>
          <w:szCs w:val="24"/>
          <w:lang w:val="en-US" w:eastAsia="zh-CN"/>
        </w:rPr>
        <w:t>95.41</w:t>
      </w:r>
      <w:r>
        <w:rPr>
          <w:rFonts w:hint="eastAsia" w:ascii="宋体" w:hAnsi="宋体" w:eastAsia="宋体"/>
          <w:sz w:val="32"/>
          <w:szCs w:val="24"/>
        </w:rPr>
        <w:t>%，</w:t>
      </w:r>
      <w:r>
        <w:rPr>
          <w:rFonts w:hint="eastAsia" w:ascii="宋体" w:hAnsi="Calibri" w:eastAsia="宋体"/>
          <w:sz w:val="32"/>
          <w:szCs w:val="24"/>
        </w:rPr>
        <w:t>决算数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小</w:t>
      </w:r>
      <w:r>
        <w:rPr>
          <w:rFonts w:hint="eastAsia" w:ascii="宋体" w:hAnsi="Calibri" w:eastAsia="宋体"/>
          <w:sz w:val="32"/>
          <w:szCs w:val="24"/>
        </w:rPr>
        <w:t>于预算数</w:t>
      </w:r>
      <w:r>
        <w:rPr>
          <w:rFonts w:hint="eastAsia" w:ascii="宋体" w:hAnsi="Calibri" w:eastAsia="宋体"/>
          <w:sz w:val="32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/>
          <w:sz w:val="32"/>
          <w:szCs w:val="32"/>
        </w:rPr>
        <w:t>主要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人员费用减少。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262.17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231.37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30.8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spacing w:before="0" w:after="0" w:line="240" w:lineRule="auto"/>
        <w:ind w:left="0" w:right="0" w:firstLine="320"/>
        <w:jc w:val="left"/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  <w:t>（一）“三公”经费财政拨款支出决算总体情况说明</w:t>
      </w:r>
    </w:p>
    <w:p>
      <w:pPr>
        <w:spacing w:before="0" w:after="0" w:line="240" w:lineRule="auto"/>
        <w:ind w:left="0" w:right="0" w:firstLine="800"/>
        <w:jc w:val="left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因公出国（境）费支出预算为0万元，支出决算为0万元，由于预算数为0，无法计算百分比，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zh-CN" w:eastAsia="zh-CN" w:bidi="ar-SA"/>
        </w:rPr>
        <w:t>决算数与预算数一致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无差异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zh-CN" w:eastAsia="zh-CN" w:bidi="ar-SA"/>
        </w:rPr>
        <w:t>，主要原因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是本年未安排因公出国（境）；与上年相比无变化，主要原因是未安排外事出访活动。</w:t>
      </w:r>
    </w:p>
    <w:p>
      <w:pPr>
        <w:spacing w:before="0" w:after="0" w:line="240" w:lineRule="auto"/>
        <w:ind w:left="0" w:right="0" w:firstLine="800"/>
        <w:jc w:val="left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公务接待费支出预算为0万元，支出决算为0万元，由于预算数为0，无法计算百分比，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zh-CN" w:eastAsia="zh-CN" w:bidi="ar-SA"/>
        </w:rPr>
        <w:t>决算数与预算数一致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无差异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zh-CN" w:eastAsia="zh-CN" w:bidi="ar-SA"/>
        </w:rPr>
        <w:t>，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主要原因是单位厉行节约，严控公务接待，与上年相比无增减变化，主要原因是本年度公务接待在本单位食堂就餐。</w:t>
      </w:r>
    </w:p>
    <w:p>
      <w:pPr>
        <w:spacing w:before="0" w:after="0" w:line="240" w:lineRule="auto"/>
        <w:ind w:left="0" w:right="0" w:firstLine="800"/>
        <w:jc w:val="left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公务用车购置费支出预算为0万元，支出决算为0万元，由于预算数为0，无法计算完成百分比，决算数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zh-CN" w:eastAsia="zh-CN" w:bidi="ar-SA"/>
        </w:rPr>
        <w:t>与预算数一致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无差异，主要原因为本年未购置公务用车；与上年相比无变化，主要原因为两年均未购置公务用车。</w:t>
      </w:r>
    </w:p>
    <w:p>
      <w:pPr>
        <w:pStyle w:val="10"/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公务用车运行维护费支出预算为0万元，支出决算为0万元，决算数与预算数一致无差异，主要原因是单位无公务用车，与上年相比无增减变化，主要原因是单位无公务用车。</w:t>
      </w:r>
    </w:p>
    <w:p>
      <w:pPr>
        <w:spacing w:before="0" w:after="0" w:line="240" w:lineRule="auto"/>
        <w:ind w:left="0" w:right="0" w:firstLine="800"/>
        <w:jc w:val="left"/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  <w:t>（二）“三公”经费财政拨款支出决算具体情况说明</w:t>
      </w:r>
    </w:p>
    <w:p>
      <w:pPr>
        <w:spacing w:before="0" w:after="0" w:line="240" w:lineRule="auto"/>
        <w:ind w:left="0" w:right="0" w:firstLine="800"/>
        <w:jc w:val="left"/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2021年度“三公”经费财政拨款支出决算中，公务接待费支出决算0万元，占0%,因公出国（境）费支出决算0万元，占0%,公务用车购置费及运行维护费支出决算0万元，占0%。其中：</w:t>
      </w:r>
    </w:p>
    <w:p>
      <w:pPr>
        <w:spacing w:before="0" w:after="0" w:line="240" w:lineRule="auto"/>
        <w:ind w:left="0" w:right="0" w:firstLine="800"/>
        <w:jc w:val="left"/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1、因公出国（境）费支出决算为0万元，全年安排因公出国（境）团组0个，累计0人次,开支内容包括：</w:t>
      </w:r>
    </w:p>
    <w:p>
      <w:pPr>
        <w:spacing w:before="0" w:after="0" w:line="240" w:lineRule="auto"/>
        <w:ind w:left="0" w:right="0" w:firstLine="800"/>
        <w:jc w:val="left"/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无（活动名称）支出0万元，主要用于无（活动内容）</w:t>
      </w:r>
    </w:p>
    <w:p>
      <w:pPr>
        <w:spacing w:before="0" w:after="0" w:line="240" w:lineRule="auto"/>
        <w:ind w:left="0" w:right="0" w:firstLine="800"/>
        <w:jc w:val="left"/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2、公务接待费支出决算为0万元，全年共接待来访团组0个、来宾0人次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主要是无（活动内容）发生的接待支出。</w:t>
      </w:r>
    </w:p>
    <w:p>
      <w:pPr>
        <w:spacing w:before="0" w:after="0" w:line="240" w:lineRule="auto"/>
        <w:ind w:left="0" w:right="0" w:firstLine="640"/>
        <w:jc w:val="left"/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3、公务用车购置费及运行维护费支出决算为0万元，其中：公务用车购置费0万元，0（单位本级或某二级机构）更新公务用车0辆（可根据实际情况进行增减）。公务用车运行维护费0万元，主要是无支出，截止2021年12月31日，我单位开支财政拨款的公务用车保有量为0辆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万元；年初结转和结余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26.87</w:t>
      </w:r>
      <w:r>
        <w:rPr>
          <w:rFonts w:hint="eastAsia" w:asciiTheme="minorEastAsia" w:hAnsiTheme="minorEastAsia" w:eastAsiaTheme="minorEastAsia"/>
          <w:sz w:val="32"/>
          <w:szCs w:val="32"/>
        </w:rPr>
        <w:t>万元；支出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26.87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26.87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万元；年末结转和结余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万元。具体情况如下：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彩票公益金安排的支出，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26.87</w:t>
      </w:r>
      <w:r>
        <w:rPr>
          <w:rFonts w:hint="eastAsia" w:asciiTheme="minorEastAsia" w:hAnsiTheme="minorEastAsia" w:eastAsiaTheme="minorEastAsia"/>
          <w:sz w:val="32"/>
          <w:szCs w:val="32"/>
        </w:rPr>
        <w:t>万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，由于预算数为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0，无法计算百分比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0"/>
        <w:numPr>
          <w:ilvl w:val="0"/>
          <w:numId w:val="4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10"/>
        <w:ind w:firstLine="640" w:firstLineChars="200"/>
        <w:rPr>
          <w:rFonts w:hint="eastAsia" w:hAnsi="黑体" w:eastAsiaTheme="minorEastAsia"/>
          <w:b/>
          <w:i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</w:rPr>
        <w:t>本单位无国有资本经营预算财政拨款支出</w:t>
      </w: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  <w:lang w:eastAsia="zh-CN"/>
        </w:rPr>
        <w:t>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万元，比上年决算数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无增减变化</w:t>
      </w:r>
      <w:r>
        <w:rPr>
          <w:rFonts w:hint="eastAsia" w:asciiTheme="minorEastAsia" w:hAnsiTheme="minorEastAsia" w:eastAsiaTheme="minorEastAsia"/>
          <w:sz w:val="32"/>
          <w:szCs w:val="32"/>
        </w:rPr>
        <w:t>。主要原因是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本单位非行政单位和参照公务员法管理事业单位。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未召开会议，</w:t>
      </w:r>
      <w:r>
        <w:rPr>
          <w:rFonts w:hint="eastAsia" w:asciiTheme="minorEastAsia" w:hAnsiTheme="minorEastAsia" w:eastAsiaTheme="minorEastAsia"/>
          <w:sz w:val="32"/>
          <w:szCs w:val="32"/>
        </w:rPr>
        <w:t>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无会议内容</w:t>
      </w:r>
      <w:r>
        <w:rPr>
          <w:rFonts w:hint="eastAsia" w:asciiTheme="minorEastAsia" w:hAnsiTheme="minorEastAsia" w:eastAsiaTheme="minorEastAsia"/>
          <w:sz w:val="32"/>
          <w:szCs w:val="32"/>
        </w:rPr>
        <w:t>；开支培训费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开展培训，人数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无培训</w:t>
      </w:r>
      <w:r>
        <w:rPr>
          <w:rFonts w:hint="eastAsia" w:asciiTheme="minorEastAsia" w:hAnsiTheme="minorEastAsia" w:eastAsiaTheme="minorEastAsia"/>
          <w:sz w:val="32"/>
          <w:szCs w:val="32"/>
        </w:rPr>
        <w:t>内容；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举办节庆、晚会、论坛、赛事活动，开支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辆，其他用车</w:t>
      </w:r>
      <w:r>
        <w:rPr>
          <w:rFonts w:hint="eastAsia" w:ascii="宋体" w:hAnsi="Times New Roman" w:eastAsia="宋体"/>
          <w:sz w:val="32"/>
        </w:rPr>
        <w:t>主要是用于机要通信和应急保障之外公务用途的车辆</w:t>
      </w:r>
      <w:r>
        <w:rPr>
          <w:rFonts w:hint="eastAsia" w:asciiTheme="minorEastAsia" w:hAnsiTheme="minorEastAsia" w:eastAsiaTheme="minorEastAsia"/>
          <w:sz w:val="32"/>
          <w:szCs w:val="32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hAnsi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、关于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年度预算绩效情况的说明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（1）绩效管理评价工作开展情况。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根据预算绩效管理要求，我部门组织对2021年度政府性基金预算项目支出全面开展绩效自评，重点项目1个，涉及资金26.87万元，占政府性基金预算项目支出总额的100%。组织对2021 年度0个国有资本经营预算项目支出开展绩效自评，共涉及资金0万元，占国有资本经营预算项目支出总额的0%。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组织对“场馆维修经费”等1个项目开展了部门评价，涉及一政府性基金预算支出26.87万元，国有资本经营预算支出0万元。从评价情况来看, 进一步完善了评价体系,充分发挥绩效评价的杠杆作用，促进体育事业的均衡发展，力求使考核工作做到科学、合理，充分体现以人为本的核心理念。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组织对1个单位开展整体支出绩效评价，涉及一般公共预算支出447.9万元，政府性基金预算支出26.87万元。从评价情况来看，项目建设、设备添置全部纳入财政预算，我单位派人参与项目建设，完工后交付使用。改善了场馆运营条件，从申报、立项、设计、招（投）标、施工等程序规范，促进了场馆的均衡发展，资金使用达到了预期效果，有效地抑制了盲目投资和建设浪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（2）部门决算中项目绩效自评结果。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场馆维修经费项目绩效自评综述：根据年初设定的绩效目标，项目绩效自评得分为95.25分。项目全年预算数为26.87万元，执行数为26.87万元，完成预算的100%。项目绩效目标完成情况：一是无重大场馆安全责任事故；二是消除安全隐患，力争做安全无死角；三是确保场馆秩序良好，治安稳定。发现的主要问题及原因：一是绩效目标设置科学性有待提高。由于部分绩效指标设置不够全面，绩效指标设置的科学性、准确性有待提升；二是预算系统内绩效指标与实际项目支出绩效指标匹配性不足。下一步改进措施：一是多措并举，提高绩效管理水平；二是加强预算编制，加快资金执行效率；三是建立绩效管理制度，加强绩效运行监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（3）部门评价项目绩效评价结果。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绩效管理工作开展顺利，部门决算中项目绩效自评结果为良好，部门评价项目绩效评价结果为良好，以部门为主体开展的重点绩效评价结果为良好。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预算绩效管理开展情况、绩效目标和绩效评价报告等，一并作为附件公开。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                                    </w:t>
      </w:r>
    </w:p>
    <w:p>
      <w:pPr>
        <w:pStyle w:val="10"/>
        <w:jc w:val="both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三、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……</w:t>
      </w:r>
    </w:p>
    <w:p>
      <w:pPr>
        <w:pStyle w:val="1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………</w:t>
      </w: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………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1A1A8"/>
    <w:multiLevelType w:val="singleLevel"/>
    <w:tmpl w:val="AC91A1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2FF44C"/>
    <w:multiLevelType w:val="singleLevel"/>
    <w:tmpl w:val="672FF4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2NjYWY0NDFlNmY3YWVjMmFlMWExMWMzMDYzZTM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5633A58"/>
    <w:rsid w:val="06B411F0"/>
    <w:rsid w:val="087403E0"/>
    <w:rsid w:val="08F62D30"/>
    <w:rsid w:val="0A314B36"/>
    <w:rsid w:val="0BE56081"/>
    <w:rsid w:val="136178EF"/>
    <w:rsid w:val="13BE003E"/>
    <w:rsid w:val="15B42303"/>
    <w:rsid w:val="17A87124"/>
    <w:rsid w:val="1AAF32D7"/>
    <w:rsid w:val="21BC598B"/>
    <w:rsid w:val="264762AD"/>
    <w:rsid w:val="27DB542D"/>
    <w:rsid w:val="297271D3"/>
    <w:rsid w:val="2FB00900"/>
    <w:rsid w:val="366364DD"/>
    <w:rsid w:val="370B6762"/>
    <w:rsid w:val="40FA4B57"/>
    <w:rsid w:val="422A0446"/>
    <w:rsid w:val="436B7427"/>
    <w:rsid w:val="440D06CC"/>
    <w:rsid w:val="45F9639D"/>
    <w:rsid w:val="48A033D2"/>
    <w:rsid w:val="48ED43E7"/>
    <w:rsid w:val="4A8E6891"/>
    <w:rsid w:val="4D956083"/>
    <w:rsid w:val="5E7F4E17"/>
    <w:rsid w:val="5F6D12E1"/>
    <w:rsid w:val="60A907EA"/>
    <w:rsid w:val="6145544E"/>
    <w:rsid w:val="698836FF"/>
    <w:rsid w:val="73C93D9A"/>
    <w:rsid w:val="75A4362D"/>
    <w:rsid w:val="79C50170"/>
    <w:rsid w:val="7BE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hint="default"/>
      <w:sz w:val="21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3122</Words>
  <Characters>3399</Characters>
  <Lines>69</Lines>
  <Paragraphs>19</Paragraphs>
  <TotalTime>0</TotalTime>
  <ScaleCrop>false</ScaleCrop>
  <LinksUpToDate>false</LinksUpToDate>
  <CharactersWithSpaces>3420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何蔚</cp:lastModifiedBy>
  <cp:lastPrinted>2022-07-27T12:55:00Z</cp:lastPrinted>
  <dcterms:modified xsi:type="dcterms:W3CDTF">2023-09-23T06:43:17Z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0F38D925A885468F96033F0EE86C4757_13</vt:lpwstr>
  </property>
</Properties>
</file>