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23" w:rsidRPr="00E47822" w:rsidRDefault="006A0D23" w:rsidP="006443AE">
      <w:pPr>
        <w:spacing w:beforeLines="80" w:afterLines="80"/>
        <w:jc w:val="center"/>
        <w:rPr>
          <w:rFonts w:ascii="方正小标宋简体" w:eastAsia="方正小标宋简体" w:hAnsi="仿宋_GB2312"/>
          <w:bCs/>
          <w:sz w:val="40"/>
          <w:szCs w:val="36"/>
        </w:rPr>
      </w:pPr>
      <w:r w:rsidRPr="00E47822">
        <w:rPr>
          <w:rFonts w:ascii="方正小标宋简体" w:eastAsia="方正小标宋简体" w:hAnsi="宋体" w:hint="eastAsia"/>
          <w:bCs/>
          <w:sz w:val="40"/>
          <w:szCs w:val="36"/>
        </w:rPr>
        <w:t>初高中学校职业教育宣传专窗式样</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5"/>
        <w:gridCol w:w="2977"/>
      </w:tblGrid>
      <w:tr w:rsidR="00454734" w:rsidRPr="0064679D" w:rsidTr="00C26B79">
        <w:trPr>
          <w:trHeight w:val="2325"/>
        </w:trPr>
        <w:tc>
          <w:tcPr>
            <w:tcW w:w="2693" w:type="dxa"/>
            <w:vAlign w:val="center"/>
          </w:tcPr>
          <w:p w:rsidR="00454734" w:rsidRPr="006A0D23" w:rsidRDefault="00454734" w:rsidP="006A0D23">
            <w:pPr>
              <w:jc w:val="center"/>
              <w:rPr>
                <w:rFonts w:ascii="仿宋" w:eastAsia="仿宋" w:hAnsi="仿宋"/>
                <w:sz w:val="72"/>
                <w:szCs w:val="72"/>
              </w:rPr>
            </w:pPr>
            <w:r w:rsidRPr="006A0D23">
              <w:rPr>
                <w:rFonts w:ascii="微软雅黑" w:eastAsia="微软雅黑" w:hAnsi="微软雅黑" w:hint="eastAsia"/>
                <w:sz w:val="72"/>
                <w:szCs w:val="72"/>
              </w:rPr>
              <w:t>①</w:t>
            </w:r>
          </w:p>
        </w:tc>
        <w:tc>
          <w:tcPr>
            <w:tcW w:w="2835" w:type="dxa"/>
            <w:vAlign w:val="center"/>
          </w:tcPr>
          <w:p w:rsidR="00454734" w:rsidRPr="0064679D" w:rsidRDefault="00454734" w:rsidP="00E22E5D">
            <w:pPr>
              <w:jc w:val="center"/>
              <w:rPr>
                <w:rFonts w:ascii="仿宋" w:eastAsia="仿宋" w:hAnsi="仿宋"/>
                <w:sz w:val="32"/>
              </w:rPr>
            </w:pPr>
            <w:r w:rsidRPr="00E22E5D">
              <w:rPr>
                <w:rFonts w:ascii="微软雅黑" w:eastAsia="微软雅黑" w:hAnsi="微软雅黑" w:hint="eastAsia"/>
                <w:sz w:val="72"/>
                <w:szCs w:val="72"/>
              </w:rPr>
              <w:t>②</w:t>
            </w:r>
          </w:p>
        </w:tc>
        <w:tc>
          <w:tcPr>
            <w:tcW w:w="2977" w:type="dxa"/>
            <w:vAlign w:val="center"/>
          </w:tcPr>
          <w:p w:rsidR="00454734" w:rsidRPr="0064679D" w:rsidRDefault="00454734" w:rsidP="00E22E5D">
            <w:pPr>
              <w:jc w:val="center"/>
              <w:rPr>
                <w:rFonts w:ascii="仿宋" w:eastAsia="仿宋" w:hAnsi="仿宋"/>
                <w:sz w:val="32"/>
              </w:rPr>
            </w:pPr>
            <w:r w:rsidRPr="00E22E5D">
              <w:rPr>
                <w:rFonts w:ascii="微软雅黑" w:eastAsia="微软雅黑" w:hAnsi="微软雅黑" w:hint="eastAsia"/>
                <w:sz w:val="72"/>
                <w:szCs w:val="72"/>
              </w:rPr>
              <w:t>③</w:t>
            </w:r>
          </w:p>
        </w:tc>
      </w:tr>
    </w:tbl>
    <w:p w:rsidR="006A0D23" w:rsidRPr="00F91A67" w:rsidRDefault="006A0D23" w:rsidP="006A0D23">
      <w:pPr>
        <w:rPr>
          <w:rFonts w:ascii="仿宋" w:eastAsia="仿宋" w:hAnsi="仿宋"/>
          <w:sz w:val="36"/>
          <w:szCs w:val="36"/>
        </w:rPr>
      </w:pPr>
      <w:r w:rsidRPr="00F91A67">
        <w:rPr>
          <w:rFonts w:ascii="仿宋" w:eastAsia="仿宋" w:hAnsi="仿宋" w:hint="eastAsia"/>
          <w:sz w:val="36"/>
          <w:szCs w:val="36"/>
        </w:rPr>
        <w:t>说明：</w:t>
      </w:r>
    </w:p>
    <w:p w:rsidR="006A0D23" w:rsidRPr="00C823C3" w:rsidRDefault="00C823C3" w:rsidP="00454734">
      <w:pPr>
        <w:pStyle w:val="a6"/>
        <w:numPr>
          <w:ilvl w:val="0"/>
          <w:numId w:val="3"/>
        </w:numPr>
        <w:ind w:firstLineChars="0"/>
        <w:rPr>
          <w:rFonts w:ascii="仿宋" w:eastAsia="仿宋" w:hAnsi="仿宋"/>
          <w:b/>
          <w:sz w:val="36"/>
          <w:szCs w:val="36"/>
        </w:rPr>
      </w:pPr>
      <w:r w:rsidRPr="00C823C3">
        <w:rPr>
          <w:rFonts w:ascii="仿宋" w:eastAsia="仿宋" w:hAnsi="仿宋" w:hint="eastAsia"/>
          <w:b/>
          <w:sz w:val="36"/>
          <w:szCs w:val="36"/>
        </w:rPr>
        <w:t>部分</w:t>
      </w:r>
      <w:r w:rsidR="006443AE">
        <w:rPr>
          <w:rFonts w:ascii="仿宋" w:eastAsia="仿宋" w:hAnsi="仿宋" w:hint="eastAsia"/>
          <w:b/>
          <w:sz w:val="36"/>
          <w:szCs w:val="36"/>
        </w:rPr>
        <w:t>:</w:t>
      </w:r>
    </w:p>
    <w:p w:rsidR="006A0D23" w:rsidRDefault="006A0D23" w:rsidP="006A0D23">
      <w:pPr>
        <w:rPr>
          <w:rFonts w:ascii="微软雅黑" w:eastAsia="微软雅黑" w:hAnsi="微软雅黑"/>
          <w:sz w:val="32"/>
        </w:rPr>
      </w:pPr>
      <w:r>
        <w:rPr>
          <w:rFonts w:ascii="微软雅黑" w:eastAsia="微软雅黑" w:hAnsi="微软雅黑" w:hint="eastAsia"/>
          <w:noProof/>
          <w:sz w:val="32"/>
        </w:rPr>
        <w:drawing>
          <wp:inline distT="0" distB="0" distL="0" distR="0">
            <wp:extent cx="5438775" cy="2891044"/>
            <wp:effectExtent l="19050" t="19050" r="28575" b="23606"/>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38775" cy="2891044"/>
                    </a:xfrm>
                    <a:prstGeom prst="rect">
                      <a:avLst/>
                    </a:prstGeom>
                    <a:noFill/>
                    <a:ln w="9525">
                      <a:solidFill>
                        <a:schemeClr val="accent1"/>
                      </a:solidFill>
                      <a:miter lim="800000"/>
                      <a:headEnd/>
                      <a:tailEnd/>
                    </a:ln>
                  </pic:spPr>
                </pic:pic>
              </a:graphicData>
            </a:graphic>
          </wp:inline>
        </w:drawing>
      </w:r>
    </w:p>
    <w:p w:rsidR="004E5E8F" w:rsidRDefault="004E5E8F" w:rsidP="006A0D23">
      <w:pPr>
        <w:rPr>
          <w:rFonts w:ascii="仿宋" w:eastAsia="仿宋" w:hAnsi="仿宋"/>
          <w:sz w:val="36"/>
          <w:szCs w:val="36"/>
        </w:rPr>
      </w:pPr>
    </w:p>
    <w:p w:rsidR="00527CBE" w:rsidRPr="00C823C3" w:rsidRDefault="00527CBE" w:rsidP="006A0D23">
      <w:pPr>
        <w:rPr>
          <w:rFonts w:ascii="仿宋" w:eastAsia="仿宋" w:hAnsi="仿宋"/>
          <w:b/>
          <w:sz w:val="36"/>
          <w:szCs w:val="36"/>
        </w:rPr>
      </w:pPr>
      <w:r w:rsidRPr="00C823C3">
        <w:rPr>
          <w:rFonts w:ascii="仿宋" w:eastAsia="仿宋" w:hAnsi="仿宋" w:hint="eastAsia"/>
          <w:b/>
          <w:sz w:val="36"/>
          <w:szCs w:val="36"/>
        </w:rPr>
        <w:t>第</w:t>
      </w:r>
      <w:r w:rsidR="006A0D23" w:rsidRPr="00C823C3">
        <w:rPr>
          <w:rFonts w:ascii="仿宋" w:eastAsia="仿宋" w:hAnsi="仿宋" w:hint="eastAsia"/>
          <w:b/>
          <w:sz w:val="36"/>
          <w:szCs w:val="36"/>
        </w:rPr>
        <w:t>②</w:t>
      </w:r>
      <w:r w:rsidRPr="00C823C3">
        <w:rPr>
          <w:rFonts w:ascii="仿宋" w:eastAsia="仿宋" w:hAnsi="仿宋" w:hint="eastAsia"/>
          <w:b/>
          <w:sz w:val="36"/>
          <w:szCs w:val="36"/>
        </w:rPr>
        <w:t>部分内容：</w:t>
      </w:r>
    </w:p>
    <w:p w:rsidR="00527CBE" w:rsidRPr="00F91A67" w:rsidRDefault="00E22E5D" w:rsidP="00F91A67">
      <w:pPr>
        <w:ind w:firstLineChars="150" w:firstLine="540"/>
        <w:rPr>
          <w:rFonts w:ascii="仿宋" w:eastAsia="仿宋" w:hAnsi="仿宋"/>
          <w:sz w:val="36"/>
          <w:szCs w:val="36"/>
        </w:rPr>
      </w:pPr>
      <w:r w:rsidRPr="00F91A67">
        <w:rPr>
          <w:rFonts w:ascii="仿宋" w:eastAsia="仿宋" w:hAnsi="仿宋" w:hint="eastAsia"/>
          <w:sz w:val="36"/>
          <w:szCs w:val="36"/>
        </w:rPr>
        <w:t>《</w:t>
      </w:r>
      <w:r w:rsidR="00527CBE" w:rsidRPr="00F91A67">
        <w:rPr>
          <w:rFonts w:ascii="仿宋" w:eastAsia="仿宋" w:hAnsi="仿宋" w:hint="eastAsia"/>
          <w:sz w:val="36"/>
          <w:szCs w:val="36"/>
        </w:rPr>
        <w:t>国务院关于加快发展现代职业教育的决定解读</w:t>
      </w:r>
      <w:r w:rsidRPr="00F91A67">
        <w:rPr>
          <w:rFonts w:ascii="仿宋" w:eastAsia="仿宋" w:hAnsi="仿宋" w:hint="eastAsia"/>
          <w:sz w:val="36"/>
          <w:szCs w:val="36"/>
        </w:rPr>
        <w:t>》(</w:t>
      </w:r>
      <w:r w:rsidR="00527CBE" w:rsidRPr="00F91A67">
        <w:rPr>
          <w:rFonts w:ascii="仿宋" w:eastAsia="仿宋" w:hAnsi="仿宋" w:hint="eastAsia"/>
          <w:sz w:val="36"/>
          <w:szCs w:val="36"/>
        </w:rPr>
        <w:t>附件3</w:t>
      </w:r>
      <w:r w:rsidRPr="00F91A67">
        <w:rPr>
          <w:rFonts w:ascii="仿宋" w:eastAsia="仿宋" w:hAnsi="仿宋" w:hint="eastAsia"/>
          <w:sz w:val="36"/>
          <w:szCs w:val="36"/>
        </w:rPr>
        <w:t>)</w:t>
      </w:r>
      <w:r w:rsidR="00527CBE" w:rsidRPr="00F91A67">
        <w:rPr>
          <w:rFonts w:ascii="仿宋" w:eastAsia="仿宋" w:hAnsi="仿宋" w:hint="eastAsia"/>
          <w:sz w:val="36"/>
          <w:szCs w:val="36"/>
        </w:rPr>
        <w:t>，各学校可根据版面大小适当摘录。</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center"/>
        <w:rPr>
          <w:rFonts w:ascii="瀹嬩綋"/>
          <w:sz w:val="32"/>
          <w:szCs w:val="32"/>
        </w:rPr>
      </w:pPr>
      <w:r w:rsidRPr="00D8070A">
        <w:rPr>
          <w:rFonts w:ascii="瀹嬩綋"/>
          <w:b/>
          <w:sz w:val="32"/>
          <w:szCs w:val="32"/>
        </w:rPr>
        <w:t>划时代的改革动员令</w:t>
      </w:r>
      <w:r w:rsidRPr="00D8070A">
        <w:rPr>
          <w:rFonts w:ascii="瀹嬩綋"/>
          <w:b/>
          <w:sz w:val="32"/>
          <w:szCs w:val="32"/>
        </w:rPr>
        <w:t>——</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center"/>
        <w:rPr>
          <w:rFonts w:ascii="瀹嬩綋"/>
          <w:color w:val="333399"/>
          <w:sz w:val="32"/>
          <w:szCs w:val="32"/>
        </w:rPr>
      </w:pPr>
      <w:r>
        <w:rPr>
          <w:rFonts w:ascii="瀹嬩綋"/>
          <w:b/>
        </w:rPr>
        <w:t xml:space="preserve">  </w:t>
      </w:r>
      <w:r w:rsidRPr="00D8070A">
        <w:rPr>
          <w:rFonts w:ascii="瀹嬩綋"/>
          <w:b/>
          <w:sz w:val="32"/>
          <w:szCs w:val="32"/>
        </w:rPr>
        <w:t xml:space="preserve"> </w:t>
      </w:r>
      <w:r w:rsidRPr="00D8070A">
        <w:rPr>
          <w:rFonts w:ascii="瀹嬩綋"/>
          <w:b/>
          <w:sz w:val="32"/>
          <w:szCs w:val="32"/>
        </w:rPr>
        <w:t>《国务院关于加快发展现代职业教育的决定》解读</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Pr>
          <w:rFonts w:ascii="瀹嬩綋"/>
          <w:color w:val="333333"/>
        </w:rPr>
        <w:t xml:space="preserve">  </w:t>
      </w:r>
      <w:r w:rsidRPr="00D8070A">
        <w:rPr>
          <w:rFonts w:ascii="瀹嬩綋"/>
          <w:color w:val="333333"/>
          <w:sz w:val="24"/>
          <w:szCs w:val="24"/>
        </w:rPr>
        <w:t xml:space="preserve"> </w:t>
      </w:r>
      <w:r w:rsidRPr="00D8070A">
        <w:rPr>
          <w:rFonts w:ascii="瀹嬩綋" w:hint="eastAsia"/>
          <w:color w:val="333333"/>
          <w:sz w:val="24"/>
          <w:szCs w:val="24"/>
        </w:rPr>
        <w:t>2014</w:t>
      </w:r>
      <w:r w:rsidRPr="00D8070A">
        <w:rPr>
          <w:rFonts w:ascii="瀹嬩綋" w:hint="eastAsia"/>
          <w:color w:val="333333"/>
          <w:sz w:val="24"/>
          <w:szCs w:val="24"/>
        </w:rPr>
        <w:t>年，国务院</w:t>
      </w:r>
      <w:r w:rsidRPr="00D8070A">
        <w:rPr>
          <w:rFonts w:ascii="瀹嬩綋"/>
          <w:color w:val="333333"/>
          <w:sz w:val="24"/>
          <w:szCs w:val="24"/>
        </w:rPr>
        <w:t>发布</w:t>
      </w:r>
      <w:r w:rsidRPr="00D8070A">
        <w:rPr>
          <w:rFonts w:ascii="瀹嬩綋" w:hint="eastAsia"/>
          <w:color w:val="333333"/>
          <w:sz w:val="24"/>
          <w:szCs w:val="24"/>
        </w:rPr>
        <w:t>了</w:t>
      </w:r>
      <w:r w:rsidRPr="00D8070A">
        <w:rPr>
          <w:rFonts w:ascii="瀹嬩綋"/>
          <w:color w:val="333333"/>
          <w:sz w:val="24"/>
          <w:szCs w:val="24"/>
        </w:rPr>
        <w:t>《关于加快发展现代职业教育的决定》。这项决定具有什</w:t>
      </w:r>
      <w:r w:rsidRPr="00D8070A">
        <w:rPr>
          <w:rFonts w:ascii="瀹嬩綋"/>
          <w:color w:val="333333"/>
          <w:sz w:val="24"/>
          <w:szCs w:val="24"/>
        </w:rPr>
        <w:lastRenderedPageBreak/>
        <w:t>么深远意义？包含哪些创新举措？受教育者将如何受益？教育部职业教育与成人教育司司长葛道凯针对这些问题作了解读。</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b/>
          <w:color w:val="333333"/>
          <w:sz w:val="24"/>
          <w:szCs w:val="24"/>
        </w:rPr>
        <w:t xml:space="preserve">   </w:t>
      </w:r>
      <w:r w:rsidRPr="00D8070A">
        <w:rPr>
          <w:rFonts w:ascii="仿宋_GB2312" w:eastAsia="仿宋_GB2312" w:hAnsi="仿宋_GB2312" w:hint="eastAsia"/>
          <w:b/>
          <w:color w:val="333333"/>
          <w:sz w:val="24"/>
          <w:szCs w:val="24"/>
        </w:rPr>
        <w:t>●</w:t>
      </w:r>
      <w:r w:rsidRPr="00D8070A">
        <w:rPr>
          <w:rFonts w:ascii="瀹嬩綋"/>
          <w:b/>
          <w:color w:val="333333"/>
          <w:sz w:val="24"/>
          <w:szCs w:val="24"/>
        </w:rPr>
        <w:t xml:space="preserve"> </w:t>
      </w:r>
      <w:r w:rsidRPr="00D8070A">
        <w:rPr>
          <w:rFonts w:ascii="瀹嬩綋"/>
          <w:b/>
          <w:color w:val="333333"/>
          <w:sz w:val="24"/>
          <w:szCs w:val="24"/>
        </w:rPr>
        <w:t>职业教育瞄准技术技能人才</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决定对职业教育的培养层次进行了进一步界定，重新划分了我国的教育体系。根据决定，今后的职业教育将包括高中、专科、本科和研究生几个阶段，还要有与职业教育特点相符合的学位制度，这不仅使职业教育的层次丰富了，也使职业教育培养人的目标发生了变化。以前我们的目标是培养技能型人才，现在是技术技能人才，也可以理解为技术人才、技能型人才以及复合型人才。这样一来，职业教育再不是传统观念中的</w:t>
      </w:r>
      <w:r w:rsidRPr="00D8070A">
        <w:rPr>
          <w:rFonts w:ascii="瀹嬩綋"/>
          <w:color w:val="333333"/>
          <w:sz w:val="24"/>
          <w:szCs w:val="24"/>
        </w:rPr>
        <w:t>“</w:t>
      </w:r>
      <w:r w:rsidRPr="00D8070A">
        <w:rPr>
          <w:rFonts w:ascii="瀹嬩綋"/>
          <w:color w:val="333333"/>
          <w:sz w:val="24"/>
          <w:szCs w:val="24"/>
        </w:rPr>
        <w:t>断头教育</w:t>
      </w:r>
      <w:r w:rsidRPr="00D8070A">
        <w:rPr>
          <w:rFonts w:ascii="瀹嬩綋"/>
          <w:color w:val="333333"/>
          <w:sz w:val="24"/>
          <w:szCs w:val="24"/>
        </w:rPr>
        <w:t>”</w:t>
      </w:r>
      <w:r w:rsidRPr="00D8070A">
        <w:rPr>
          <w:rFonts w:ascii="瀹嬩綋"/>
          <w:color w:val="333333"/>
          <w:sz w:val="24"/>
          <w:szCs w:val="24"/>
        </w:rPr>
        <w:t>、</w:t>
      </w:r>
      <w:r w:rsidRPr="00D8070A">
        <w:rPr>
          <w:rFonts w:ascii="瀹嬩綋"/>
          <w:color w:val="333333"/>
          <w:sz w:val="24"/>
          <w:szCs w:val="24"/>
        </w:rPr>
        <w:t>“</w:t>
      </w:r>
      <w:r w:rsidRPr="00D8070A">
        <w:rPr>
          <w:rFonts w:ascii="瀹嬩綋"/>
          <w:color w:val="333333"/>
          <w:sz w:val="24"/>
          <w:szCs w:val="24"/>
        </w:rPr>
        <w:t>次品教育</w:t>
      </w:r>
      <w:r w:rsidRPr="00D8070A">
        <w:rPr>
          <w:rFonts w:ascii="瀹嬩綋"/>
          <w:color w:val="333333"/>
          <w:sz w:val="24"/>
          <w:szCs w:val="24"/>
        </w:rPr>
        <w:t>”</w:t>
      </w:r>
      <w:r w:rsidRPr="00D8070A">
        <w:rPr>
          <w:rFonts w:ascii="瀹嬩綋"/>
          <w:color w:val="333333"/>
          <w:sz w:val="24"/>
          <w:szCs w:val="24"/>
        </w:rPr>
        <w:t>。不仅如此，决定还强调职业教育要强化技术技能积累作用，这将有助于扭转当前很多传统技能和技艺失传的局面，使高素质劳动者的优秀基因不断传承延续下去。</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根据决定，到２０２０年，我国中等职业教育在校生将达到２３５０万人，专科层次职业教育在校生为１４８０万人，接受本科层次职业教育的学生达到一定规模。这不仅对国家转方式、调结构、促升级具有十分重要的意义，也将帮助每个家庭创造更大人才红利。</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b/>
          <w:color w:val="333333"/>
          <w:sz w:val="24"/>
          <w:szCs w:val="24"/>
        </w:rPr>
        <w:t xml:space="preserve">    </w:t>
      </w:r>
      <w:r w:rsidRPr="00D8070A">
        <w:rPr>
          <w:rFonts w:ascii="仿宋_GB2312" w:eastAsia="仿宋_GB2312" w:hAnsi="仿宋_GB2312" w:hint="eastAsia"/>
          <w:b/>
          <w:color w:val="333333"/>
          <w:sz w:val="24"/>
          <w:szCs w:val="24"/>
        </w:rPr>
        <w:t>●</w:t>
      </w:r>
      <w:r w:rsidRPr="00D8070A">
        <w:rPr>
          <w:rFonts w:ascii="瀹嬩綋"/>
          <w:b/>
          <w:color w:val="333333"/>
          <w:sz w:val="24"/>
          <w:szCs w:val="24"/>
        </w:rPr>
        <w:t>企业办学新添动力</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决定首次提出企业要发挥</w:t>
      </w:r>
      <w:r w:rsidRPr="00D8070A">
        <w:rPr>
          <w:rFonts w:ascii="瀹嬩綋"/>
          <w:color w:val="333333"/>
          <w:sz w:val="24"/>
          <w:szCs w:val="24"/>
        </w:rPr>
        <w:t>“</w:t>
      </w:r>
      <w:r w:rsidRPr="00D8070A">
        <w:rPr>
          <w:rFonts w:ascii="瀹嬩綋"/>
          <w:color w:val="333333"/>
          <w:sz w:val="24"/>
          <w:szCs w:val="24"/>
        </w:rPr>
        <w:t>重要办学主体作用</w:t>
      </w:r>
      <w:r w:rsidRPr="00D8070A">
        <w:rPr>
          <w:rFonts w:ascii="瀹嬩綋"/>
          <w:color w:val="333333"/>
          <w:sz w:val="24"/>
          <w:szCs w:val="24"/>
        </w:rPr>
        <w:t>”</w:t>
      </w:r>
      <w:r w:rsidRPr="00D8070A">
        <w:rPr>
          <w:rFonts w:ascii="瀹嬩綋"/>
          <w:color w:val="333333"/>
          <w:sz w:val="24"/>
          <w:szCs w:val="24"/>
        </w:rPr>
        <w:t>，并将以政府购买服务或税收优惠等方式给予支持。我们旧有的观念往往是办教育是学校的事，而这一次明确，办职业教育不仅是学校的事，也是企业的事。企业办学不应狭义地理解为出资兴办学校，还应包括参与教育教学过程，如参与制订</w:t>
      </w:r>
      <w:r w:rsidRPr="00D8070A">
        <w:rPr>
          <w:rFonts w:ascii="瀹嬩綋" w:hint="eastAsia"/>
          <w:color w:val="333333"/>
          <w:sz w:val="24"/>
          <w:szCs w:val="24"/>
        </w:rPr>
        <w:t>人才培养方案</w:t>
      </w:r>
      <w:r w:rsidRPr="00D8070A">
        <w:rPr>
          <w:rFonts w:ascii="瀹嬩綋"/>
          <w:color w:val="333333"/>
          <w:sz w:val="24"/>
          <w:szCs w:val="24"/>
        </w:rPr>
        <w:t>、接受学生实习、派遣技术人员讲实训课等。过去的改革探索已经证明，校企合作可以有效地解决人才培养的针对性问题以及职业教育的出口问题，也满足了企业的实际用人需求。决定还强调了企业的社会责任，要求规模以上企业要有机构或人员实施职工教育培训、对接职业院校，设立学生实习和教师实践岗位。企业开展职业教育的情况要纳入企业社会责任报告。</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近年来，教育部已先后组建５９个职业教育行业教学指导委员会，涵盖国民经</w:t>
      </w:r>
      <w:r w:rsidRPr="00D8070A">
        <w:rPr>
          <w:rFonts w:ascii="瀹嬩綋"/>
          <w:color w:val="333333"/>
          <w:sz w:val="24"/>
          <w:szCs w:val="24"/>
        </w:rPr>
        <w:lastRenderedPageBreak/>
        <w:t>济各门类，这是教育行政部门主动让出权力，请行业在职业教育领域发挥作用。此外我们还推动</w:t>
      </w:r>
      <w:r w:rsidRPr="00D8070A">
        <w:rPr>
          <w:rFonts w:ascii="瀹嬩綋" w:hint="eastAsia"/>
          <w:color w:val="333333"/>
          <w:sz w:val="24"/>
          <w:szCs w:val="24"/>
        </w:rPr>
        <w:t>集团化办学</w:t>
      </w:r>
      <w:r w:rsidRPr="00D8070A">
        <w:rPr>
          <w:rFonts w:ascii="瀹嬩綋"/>
          <w:color w:val="333333"/>
          <w:sz w:val="24"/>
          <w:szCs w:val="24"/>
        </w:rPr>
        <w:t>，全国已建立７００多个集行业、学校和企业于一体的职教集团。相信决定一旦贯彻下去，将更好地解决产教融合问题。</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b/>
          <w:color w:val="333333"/>
          <w:sz w:val="24"/>
          <w:szCs w:val="24"/>
        </w:rPr>
        <w:t xml:space="preserve">    </w:t>
      </w:r>
      <w:r w:rsidRPr="00D8070A">
        <w:rPr>
          <w:rFonts w:ascii="仿宋_GB2312" w:eastAsia="仿宋_GB2312" w:hAnsi="仿宋_GB2312" w:hint="eastAsia"/>
          <w:b/>
          <w:color w:val="333333"/>
          <w:sz w:val="24"/>
          <w:szCs w:val="24"/>
        </w:rPr>
        <w:t>●</w:t>
      </w:r>
      <w:r w:rsidRPr="00D8070A">
        <w:rPr>
          <w:rFonts w:ascii="瀹嬩綋"/>
          <w:b/>
          <w:color w:val="333333"/>
          <w:sz w:val="24"/>
          <w:szCs w:val="24"/>
        </w:rPr>
        <w:t>全社会都要添砖加瓦</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综观世界一些发达国家，发展职业教育成为国家战略、高级蓝领受人尊敬的情况十分普遍，我国在社会配套机制和观念上还相对滞后。决定提出探索发展股份制、混合所有制职业院校，允许以资本、知识、技术、管理等要素参与办学并享有相应权利。探索公办和社会力量举办的职业院校相互委托管理和购买服务的机制。这些都是要引导全社会关心、支持和参与职业教育。这绝非一句口号型的号召，而是要通过体制机制的突破真正营造职业教育发展的新环境。此外，决定还从根本保障机制上强调了各级政府的投入职责，如要求各级人民政府建立与办学规模和培养要求相适应的财政投入制度；要求地方人民政府要依法制定并落实职业院校</w:t>
      </w:r>
      <w:r w:rsidRPr="00D8070A">
        <w:rPr>
          <w:rFonts w:ascii="瀹嬩綋" w:hint="eastAsia"/>
          <w:color w:val="333333"/>
          <w:sz w:val="24"/>
          <w:szCs w:val="24"/>
        </w:rPr>
        <w:t>生均经费</w:t>
      </w:r>
      <w:r w:rsidRPr="00D8070A">
        <w:rPr>
          <w:rFonts w:ascii="瀹嬩綋"/>
          <w:color w:val="333333"/>
          <w:sz w:val="24"/>
          <w:szCs w:val="24"/>
        </w:rPr>
        <w:t>标准或公用经费标准；县级以上人民政府要建立职业教育经费绩效评价制度、审计监督公告制度、预决算公开制度，这些都将从根本上扭转一些地方不重视职业教育的状况。</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b/>
          <w:color w:val="333333"/>
          <w:sz w:val="24"/>
          <w:szCs w:val="24"/>
        </w:rPr>
        <w:t xml:space="preserve">    </w:t>
      </w:r>
      <w:r w:rsidRPr="00D8070A">
        <w:rPr>
          <w:rFonts w:ascii="仿宋_GB2312" w:eastAsia="仿宋_GB2312" w:hAnsi="仿宋_GB2312" w:hint="eastAsia"/>
          <w:b/>
          <w:color w:val="333333"/>
          <w:sz w:val="24"/>
          <w:szCs w:val="24"/>
        </w:rPr>
        <w:t>●</w:t>
      </w:r>
      <w:r w:rsidRPr="00D8070A">
        <w:rPr>
          <w:rFonts w:ascii="瀹嬩綋"/>
          <w:b/>
          <w:color w:val="333333"/>
          <w:sz w:val="24"/>
          <w:szCs w:val="24"/>
        </w:rPr>
        <w:t>本科职业教育要分类推进</w:t>
      </w:r>
    </w:p>
    <w:p w:rsidR="00454734" w:rsidRPr="00D8070A" w:rsidRDefault="00454734" w:rsidP="00C823C3">
      <w:pPr>
        <w:pBdr>
          <w:top w:val="none" w:sz="0" w:space="0" w:color="000000"/>
          <w:left w:val="none" w:sz="0" w:space="0" w:color="000000"/>
          <w:bottom w:val="none" w:sz="0" w:space="11" w:color="000000"/>
          <w:right w:val="none" w:sz="0" w:space="0" w:color="000000"/>
        </w:pBdr>
        <w:autoSpaceDN w:val="0"/>
        <w:spacing w:line="520" w:lineRule="exact"/>
        <w:jc w:val="left"/>
        <w:rPr>
          <w:rFonts w:ascii="瀹嬩綋"/>
          <w:color w:val="333333"/>
          <w:sz w:val="24"/>
          <w:szCs w:val="24"/>
        </w:rPr>
      </w:pPr>
      <w:r w:rsidRPr="00D8070A">
        <w:rPr>
          <w:rFonts w:ascii="瀹嬩綋"/>
          <w:color w:val="333333"/>
          <w:sz w:val="24"/>
          <w:szCs w:val="24"/>
        </w:rPr>
        <w:t xml:space="preserve">    </w:t>
      </w:r>
      <w:r w:rsidRPr="00D8070A">
        <w:rPr>
          <w:rFonts w:ascii="瀹嬩綋"/>
          <w:color w:val="333333"/>
          <w:sz w:val="24"/>
          <w:szCs w:val="24"/>
        </w:rPr>
        <w:t>近期有媒体报道的关于地方本科院校转型的说法并不准确。决定的核心思想是要建立高等学校分类体系，也就是通过招生、评价、投入等机制，引导一批</w:t>
      </w:r>
      <w:r w:rsidRPr="00D8070A">
        <w:rPr>
          <w:rFonts w:ascii="瀹嬩綋" w:hint="eastAsia"/>
          <w:color w:val="333333"/>
          <w:sz w:val="24"/>
          <w:szCs w:val="24"/>
        </w:rPr>
        <w:t>学校转型</w:t>
      </w:r>
      <w:r w:rsidRPr="00D8070A">
        <w:rPr>
          <w:rFonts w:ascii="瀹嬩綋"/>
          <w:color w:val="333333"/>
          <w:sz w:val="24"/>
          <w:szCs w:val="24"/>
        </w:rPr>
        <w:t>发展为应用技术型高等学校。在现有情况下推动一批本科学校转型，这些学校可以是历史悠久的，也可以是新建学校，但前提是要实现分类管理，形成定位清晰、科学合理的职业教育层次结构。今后基本走向是将通过试点推动、示范引领等方式，引导一批普通本科学校转型发展为应用技术型高等学校。</w:t>
      </w:r>
    </w:p>
    <w:p w:rsidR="00454734" w:rsidRDefault="00454734" w:rsidP="00454734"/>
    <w:p w:rsidR="00C823C3" w:rsidRDefault="00C823C3">
      <w:pPr>
        <w:widowControl/>
        <w:spacing w:after="200" w:line="276" w:lineRule="auto"/>
        <w:jc w:val="left"/>
        <w:rPr>
          <w:rFonts w:ascii="仿宋" w:eastAsia="仿宋" w:hAnsi="仿宋"/>
          <w:b/>
          <w:sz w:val="36"/>
          <w:szCs w:val="36"/>
        </w:rPr>
      </w:pPr>
      <w:r>
        <w:rPr>
          <w:rFonts w:ascii="仿宋" w:eastAsia="仿宋" w:hAnsi="仿宋"/>
          <w:b/>
          <w:sz w:val="36"/>
          <w:szCs w:val="36"/>
        </w:rPr>
        <w:br w:type="page"/>
      </w:r>
    </w:p>
    <w:p w:rsidR="00527CBE" w:rsidRPr="00C823C3" w:rsidRDefault="00527CBE" w:rsidP="006A0D23">
      <w:pPr>
        <w:rPr>
          <w:rFonts w:ascii="仿宋" w:eastAsia="仿宋" w:hAnsi="仿宋"/>
          <w:b/>
          <w:sz w:val="36"/>
          <w:szCs w:val="36"/>
        </w:rPr>
      </w:pPr>
      <w:r w:rsidRPr="00C823C3">
        <w:rPr>
          <w:rFonts w:ascii="仿宋" w:eastAsia="仿宋" w:hAnsi="仿宋" w:hint="eastAsia"/>
          <w:b/>
          <w:sz w:val="36"/>
          <w:szCs w:val="36"/>
        </w:rPr>
        <w:lastRenderedPageBreak/>
        <w:t>第</w:t>
      </w:r>
      <w:r w:rsidR="006A0D23" w:rsidRPr="00C823C3">
        <w:rPr>
          <w:rFonts w:ascii="仿宋" w:eastAsia="仿宋" w:hAnsi="仿宋" w:hint="eastAsia"/>
          <w:b/>
          <w:sz w:val="36"/>
          <w:szCs w:val="36"/>
        </w:rPr>
        <w:t>③</w:t>
      </w:r>
      <w:r w:rsidRPr="00C823C3">
        <w:rPr>
          <w:rFonts w:ascii="仿宋" w:eastAsia="仿宋" w:hAnsi="仿宋" w:hint="eastAsia"/>
          <w:b/>
          <w:sz w:val="36"/>
          <w:szCs w:val="36"/>
        </w:rPr>
        <w:t>部分内容：</w:t>
      </w:r>
    </w:p>
    <w:p w:rsidR="00C26B79" w:rsidRPr="00D56055" w:rsidRDefault="00454734" w:rsidP="00C823C3">
      <w:pPr>
        <w:ind w:firstLineChars="200" w:firstLine="720"/>
        <w:jc w:val="left"/>
        <w:rPr>
          <w:rFonts w:ascii="方正小标宋简体" w:eastAsia="方正小标宋简体"/>
          <w:sz w:val="30"/>
          <w:szCs w:val="30"/>
        </w:rPr>
      </w:pPr>
      <w:r>
        <w:rPr>
          <w:rFonts w:ascii="仿宋" w:eastAsia="仿宋" w:hAnsi="仿宋" w:hint="eastAsia"/>
          <w:sz w:val="36"/>
          <w:szCs w:val="36"/>
        </w:rPr>
        <w:t>2</w:t>
      </w:r>
      <w:r w:rsidRPr="00F91A67">
        <w:rPr>
          <w:rFonts w:ascii="仿宋" w:eastAsia="仿宋" w:hAnsi="仿宋" w:hint="eastAsia"/>
          <w:sz w:val="36"/>
          <w:szCs w:val="36"/>
        </w:rPr>
        <w:t>016年岳阳市职业院校招生专业一览表（</w:t>
      </w:r>
      <w:r w:rsidR="00E22E5D" w:rsidRPr="00F91A67">
        <w:rPr>
          <w:rFonts w:ascii="仿宋" w:eastAsia="仿宋" w:hAnsi="仿宋" w:hint="eastAsia"/>
          <w:sz w:val="36"/>
          <w:szCs w:val="36"/>
        </w:rPr>
        <w:t>高中学校可不列此项）。</w:t>
      </w:r>
    </w:p>
    <w:p w:rsidR="00C26B79" w:rsidRPr="00C823C3" w:rsidRDefault="00C26B79" w:rsidP="00C26B79">
      <w:pPr>
        <w:jc w:val="center"/>
        <w:rPr>
          <w:rFonts w:ascii="方正小标宋简体" w:eastAsia="方正小标宋简体"/>
          <w:sz w:val="36"/>
          <w:szCs w:val="36"/>
        </w:rPr>
      </w:pPr>
      <w:r w:rsidRPr="00C823C3">
        <w:rPr>
          <w:rFonts w:ascii="方正小标宋简体" w:eastAsia="方正小标宋简体" w:hint="eastAsia"/>
          <w:sz w:val="36"/>
          <w:szCs w:val="36"/>
        </w:rPr>
        <w:t>岳阳市职业院校招生专业一览表</w:t>
      </w:r>
    </w:p>
    <w:tbl>
      <w:tblPr>
        <w:tblW w:w="9796" w:type="dxa"/>
        <w:tblLayout w:type="fixed"/>
        <w:tblCellMar>
          <w:top w:w="15" w:type="dxa"/>
          <w:left w:w="15" w:type="dxa"/>
          <w:bottom w:w="15" w:type="dxa"/>
          <w:right w:w="15" w:type="dxa"/>
        </w:tblCellMar>
        <w:tblLook w:val="0000"/>
      </w:tblPr>
      <w:tblGrid>
        <w:gridCol w:w="582"/>
        <w:gridCol w:w="2552"/>
        <w:gridCol w:w="2410"/>
        <w:gridCol w:w="708"/>
        <w:gridCol w:w="2552"/>
        <w:gridCol w:w="992"/>
      </w:tblGrid>
      <w:tr w:rsidR="00C26B79" w:rsidRPr="00AB1BAA" w:rsidTr="005B7AA6">
        <w:trPr>
          <w:trHeight w:val="530"/>
        </w:trPr>
        <w:tc>
          <w:tcPr>
            <w:tcW w:w="58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序号</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学校类型</w:t>
            </w:r>
          </w:p>
        </w:tc>
        <w:tc>
          <w:tcPr>
            <w:tcW w:w="2410"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学校名称</w:t>
            </w:r>
          </w:p>
        </w:tc>
        <w:tc>
          <w:tcPr>
            <w:tcW w:w="708"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学校           代码</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招生专业</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b/>
                <w:bCs/>
                <w:color w:val="000000"/>
                <w:kern w:val="0"/>
                <w:szCs w:val="21"/>
              </w:rPr>
            </w:pPr>
            <w:r w:rsidRPr="00D56055">
              <w:rPr>
                <w:rFonts w:ascii="宋体" w:hAnsi="宋体" w:cs="宋体" w:hint="eastAsia"/>
                <w:b/>
                <w:bCs/>
                <w:color w:val="000000"/>
                <w:kern w:val="0"/>
                <w:szCs w:val="21"/>
              </w:rPr>
              <w:t>专业代码</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w:t>
            </w:r>
          </w:p>
        </w:tc>
        <w:tc>
          <w:tcPr>
            <w:tcW w:w="2552" w:type="dxa"/>
            <w:vMerge w:val="restart"/>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省级示范性高职院校</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岳阳职业技术学院</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060201</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汽车检测与维修技术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560702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环境艺术设计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650111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机电一体化技术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560301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药学</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620301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影视动画</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660209</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园林技术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510202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畜牧兽医</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510301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计算机网络技术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610202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护理</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620201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助产</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620202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建设工程管理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540501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630302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640101</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省级示范性(骨干)高职院校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湖南民族职业学院</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早期教育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670101K</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民族传统体育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670406</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艺术设计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650101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建设工程管理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540501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动漫设计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650120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服装与服饰设计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650108</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航空服务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软件技术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610205</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通信技术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610301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630302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学前教育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160100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旅游管理</w:t>
            </w:r>
          </w:p>
        </w:tc>
        <w:tc>
          <w:tcPr>
            <w:tcW w:w="992" w:type="dxa"/>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640101</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3</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湖南石油化工职业技术</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060203</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石油化工技术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570203</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电气自动化技术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560302</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工业分析与检验</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航空服务</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市场营销</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 xml:space="preserve">国家级改革发展示范学校                 国家级重点职业学校     省级示范性中职学校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中南工业学校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数控技术应用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模具制造技术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机电设备安装与维修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焊接技术应用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052200</w:t>
            </w:r>
          </w:p>
        </w:tc>
      </w:tr>
      <w:tr w:rsidR="00C26B79" w:rsidRPr="00AB1BAA" w:rsidTr="005B7AA6">
        <w:trPr>
          <w:trHeight w:val="530"/>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制冷和空调设备运行与维修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052900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工业自动化仪表及应用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计算机平面设计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电气运行与控制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物流服务与管理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工业机器人应用与维护</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0208－3</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岳阳市第一职业中专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机械加工技术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数控技术应用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机电设备安装与维修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计算机平面设计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计算机网络技术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高星级饭店运营与管理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工业机器人应用与维护</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0208－3</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数控加工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0106－3</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机床切削加工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0101－3</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机械设备维修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0112－4</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0303－4</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0209－4</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 xml:space="preserve">国家级重点职业学校     省级示范性中职学校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岳阳市湘北女子职业学校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060207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航空服务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市场营销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应用英语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670203</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岳阳市网络工程职业技术学校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060226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软件与信息服务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620405</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590101</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 xml:space="preserve">国家级改革发展示范学校            国家级重点职业学校     省级示范性中职学校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岳阳县职业中专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062101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现代农艺技术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机械加工技术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计算机平面设计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计算机网络技术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音乐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140800</w:t>
            </w:r>
          </w:p>
        </w:tc>
      </w:tr>
      <w:tr w:rsidR="00C26B79" w:rsidRPr="00AB1BAA" w:rsidTr="005B7AA6">
        <w:trPr>
          <w:trHeight w:val="590"/>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制冷和空调设备运行与维修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052900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电气运行与控制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9</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国家级改革发展示范学校             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华容县职业中专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062301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汽车车身修复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汽车美容与装潢</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082700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汽车整车与配件营销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10</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国家级改革发展示范学校             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湘阴县第一职业中专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062401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淡水养殖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012200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机械加工技术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音乐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工艺美术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建筑工程施工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040100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平江县职业技术学校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062601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农产品保鲜与加工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数控技术应用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模具制造技术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文秘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180200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客户信息服务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12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国家级改革发展示范学校          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汩罗市职业中专学校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068101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园林技术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011500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建筑工程施工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040100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数控技术应用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机电设备安装与维修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现代农艺技术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观光农业经营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010300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通信技术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模具制造技术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国家级重点职业学校          省级示范性中职学校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临湘市职业中专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068201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机电设备安装与维修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电子电器应用与维修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053200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 xml:space="preserve">计算机应用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文秘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180200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有色金属冶炼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050700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其他－新型激光技术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149900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化工机械与设备</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060400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w:t>
            </w:r>
          </w:p>
        </w:tc>
        <w:tc>
          <w:tcPr>
            <w:tcW w:w="2552" w:type="dxa"/>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岳阳市外贸职业技术学校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060215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城市轨道交通运营管理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080700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计算机网络技术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r>
      <w:tr w:rsidR="00C26B79" w:rsidRPr="00AB1BAA" w:rsidTr="005B7AA6">
        <w:trPr>
          <w:trHeight w:val="383"/>
        </w:trPr>
        <w:tc>
          <w:tcPr>
            <w:tcW w:w="5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15</w:t>
            </w:r>
          </w:p>
        </w:tc>
        <w:tc>
          <w:tcPr>
            <w:tcW w:w="2552" w:type="dxa"/>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岳阳市江南通信职业技术学校</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通信技术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091500</w:t>
            </w:r>
          </w:p>
        </w:tc>
      </w:tr>
      <w:tr w:rsidR="00C26B79" w:rsidRPr="00AB1BAA" w:rsidTr="005B7AA6">
        <w:trPr>
          <w:trHeight w:val="383"/>
        </w:trPr>
        <w:tc>
          <w:tcPr>
            <w:tcW w:w="5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岳阳市理工职业技术学校</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060220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岳阳市中岳经贸职业技术学校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060224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建筑装饰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040200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音乐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140800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工艺美术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142000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运动训练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150100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制浆造纸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1213-4319</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机械设备维修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0112-425</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应用电子技术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0209-469</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热能与动力工程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1110-4295</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形象设计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0508-4157</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岳阳市通达职业技术学校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060228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电子技术应用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091300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19</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岳阳市富岳外语职业学校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060233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城市轨道交通运营管理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080700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商务英语</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121300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20</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岳阳市物流工程职业学校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060301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机电设备安装与维修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精细化工</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物流服务与管理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121900</w:t>
            </w:r>
          </w:p>
        </w:tc>
      </w:tr>
      <w:tr w:rsidR="00C26B79" w:rsidRPr="00AB1BAA" w:rsidTr="005B7AA6">
        <w:trPr>
          <w:trHeight w:val="33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21</w:t>
            </w:r>
          </w:p>
        </w:tc>
        <w:tc>
          <w:tcPr>
            <w:tcW w:w="2552" w:type="dxa"/>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岳阳市建设科技职业学校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061101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航空服务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082300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val="restart"/>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22</w:t>
            </w: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val="restart"/>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岳阳市中山财经职业技术学校</w:t>
            </w:r>
          </w:p>
        </w:tc>
        <w:tc>
          <w:tcPr>
            <w:tcW w:w="708" w:type="dxa"/>
            <w:vMerge w:val="restart"/>
            <w:tcBorders>
              <w:top w:val="single" w:sz="4" w:space="0" w:color="000000"/>
              <w:left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060216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left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120100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lastRenderedPageBreak/>
              <w:t>23</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岳阳县新科职业技术学校</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062106</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湘阴县第二职业高中</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062402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文秘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180200</w:t>
            </w:r>
          </w:p>
        </w:tc>
      </w:tr>
      <w:tr w:rsidR="00C26B79" w:rsidRPr="00AB1BAA" w:rsidTr="005B7AA6">
        <w:trPr>
          <w:trHeight w:val="515"/>
        </w:trPr>
        <w:tc>
          <w:tcPr>
            <w:tcW w:w="5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湘阴县中山职业技术学校</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062405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计算机平面设计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090300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26</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汨罗市财贸职业中专学校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068102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会计电算化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电子商务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121100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汨罗市工业职业中专学校</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068103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机械加工技术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051200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汽车运用与维修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082500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旅游服务与管理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130200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文秘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180200</w:t>
            </w:r>
          </w:p>
        </w:tc>
      </w:tr>
      <w:tr w:rsidR="00C26B79" w:rsidRPr="00AB1BAA" w:rsidTr="005B7AA6">
        <w:trPr>
          <w:trHeight w:val="383"/>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28</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临湘市湘北职业技术学校</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068203</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090100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出版与发行</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140600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服装设计与工艺</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142400</w:t>
            </w:r>
          </w:p>
        </w:tc>
      </w:tr>
      <w:tr w:rsidR="00C26B79" w:rsidRPr="00AB1BAA" w:rsidTr="005B7AA6">
        <w:trPr>
          <w:trHeight w:val="383"/>
        </w:trPr>
        <w:tc>
          <w:tcPr>
            <w:tcW w:w="58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高星级饭店运营与管理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130100</w:t>
            </w:r>
          </w:p>
        </w:tc>
      </w:tr>
      <w:tr w:rsidR="00C26B79" w:rsidRPr="00AB1BAA" w:rsidTr="00C823C3">
        <w:trPr>
          <w:trHeight w:val="577"/>
        </w:trPr>
        <w:tc>
          <w:tcPr>
            <w:tcW w:w="58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29</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平江璐璐职业学校</w:t>
            </w:r>
          </w:p>
        </w:tc>
        <w:tc>
          <w:tcPr>
            <w:tcW w:w="708"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062605</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left"/>
              <w:rPr>
                <w:rFonts w:ascii="宋体" w:hAnsi="宋体" w:cs="宋体"/>
                <w:color w:val="000000"/>
                <w:kern w:val="0"/>
                <w:szCs w:val="21"/>
              </w:rPr>
            </w:pPr>
            <w:r w:rsidRPr="00D56055">
              <w:rPr>
                <w:rFonts w:ascii="宋体" w:hAnsi="宋体" w:cs="宋体" w:hint="eastAsia"/>
                <w:color w:val="000000"/>
                <w:kern w:val="0"/>
                <w:szCs w:val="21"/>
              </w:rPr>
              <w:t>舞蹈表演</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sidRPr="00D56055">
              <w:rPr>
                <w:rFonts w:ascii="宋体" w:hAnsi="宋体" w:cs="宋体" w:hint="eastAsia"/>
                <w:color w:val="000000"/>
                <w:kern w:val="0"/>
                <w:szCs w:val="21"/>
              </w:rPr>
              <w:t>140900</w:t>
            </w:r>
          </w:p>
        </w:tc>
      </w:tr>
      <w:tr w:rsidR="00C26B79" w:rsidRPr="00AB1BAA" w:rsidTr="005B7AA6">
        <w:trPr>
          <w:trHeight w:val="413"/>
        </w:trPr>
        <w:tc>
          <w:tcPr>
            <w:tcW w:w="582" w:type="dxa"/>
            <w:vMerge w:val="restart"/>
            <w:tcBorders>
              <w:top w:val="single" w:sz="4" w:space="0" w:color="000000"/>
              <w:left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2552" w:type="dxa"/>
            <w:vMerge w:val="restart"/>
            <w:tcBorders>
              <w:top w:val="single" w:sz="4" w:space="0" w:color="000000"/>
              <w:left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val="restart"/>
            <w:tcBorders>
              <w:top w:val="single" w:sz="4" w:space="0" w:color="000000"/>
              <w:left w:val="single" w:sz="4" w:space="0" w:color="000000"/>
              <w:right w:val="single" w:sz="4" w:space="0" w:color="000000"/>
            </w:tcBorders>
            <w:vAlign w:val="center"/>
          </w:tcPr>
          <w:p w:rsidR="00C26B79" w:rsidRPr="00C823C3" w:rsidRDefault="00C26B79" w:rsidP="00C823C3">
            <w:pPr>
              <w:widowControl/>
              <w:jc w:val="left"/>
              <w:rPr>
                <w:rFonts w:ascii="宋体" w:hAnsi="宋体" w:cs="宋体"/>
                <w:color w:val="000000"/>
                <w:spacing w:val="-10"/>
                <w:kern w:val="0"/>
                <w:szCs w:val="22"/>
              </w:rPr>
            </w:pPr>
            <w:r w:rsidRPr="00C823C3">
              <w:rPr>
                <w:rFonts w:ascii="宋体" w:hAnsi="宋体" w:cs="宋体" w:hint="eastAsia"/>
                <w:color w:val="000000"/>
                <w:spacing w:val="-10"/>
                <w:kern w:val="0"/>
                <w:sz w:val="22"/>
                <w:szCs w:val="22"/>
              </w:rPr>
              <w:t>岳阳市新青年职业技术学校</w:t>
            </w:r>
          </w:p>
        </w:tc>
        <w:tc>
          <w:tcPr>
            <w:tcW w:w="708" w:type="dxa"/>
            <w:vMerge w:val="restart"/>
            <w:tcBorders>
              <w:top w:val="single" w:sz="4" w:space="0" w:color="000000"/>
              <w:left w:val="single" w:sz="4" w:space="0" w:color="000000"/>
              <w:right w:val="single" w:sz="4" w:space="0" w:color="000000"/>
            </w:tcBorders>
            <w:vAlign w:val="center"/>
          </w:tcPr>
          <w:p w:rsidR="00C26B79" w:rsidRPr="00FD4270" w:rsidRDefault="00C26B79" w:rsidP="005B7AA6">
            <w:pPr>
              <w:widowControl/>
              <w:jc w:val="left"/>
              <w:rPr>
                <w:rFonts w:ascii="宋体" w:hAnsi="宋体" w:cs="宋体"/>
                <w:color w:val="000000"/>
                <w:kern w:val="0"/>
                <w:szCs w:val="21"/>
              </w:rPr>
            </w:pPr>
            <w:r w:rsidRPr="00FD4270">
              <w:rPr>
                <w:rFonts w:ascii="宋体" w:hAnsi="宋体" w:cs="宋体" w:hint="eastAsia"/>
                <w:color w:val="000000"/>
                <w:kern w:val="0"/>
                <w:szCs w:val="21"/>
              </w:rPr>
              <w:t>060229</w:t>
            </w: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FD4270" w:rsidRDefault="00C26B79" w:rsidP="005B7AA6">
            <w:pPr>
              <w:widowControl/>
              <w:jc w:val="left"/>
              <w:rPr>
                <w:rFonts w:ascii="宋体" w:hAnsi="宋体" w:cs="宋体"/>
                <w:color w:val="000000"/>
                <w:kern w:val="0"/>
                <w:szCs w:val="21"/>
              </w:rPr>
            </w:pPr>
            <w:r w:rsidRPr="00FD4270">
              <w:rPr>
                <w:rFonts w:ascii="宋体" w:hAnsi="宋体" w:cs="宋体" w:hint="eastAsia"/>
                <w:color w:val="000000"/>
                <w:kern w:val="0"/>
                <w:szCs w:val="21"/>
              </w:rPr>
              <w:t>计算机应用</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r w:rsidRPr="00454734">
              <w:rPr>
                <w:rFonts w:ascii="宋体" w:hAnsi="宋体" w:cs="宋体" w:hint="eastAsia"/>
                <w:color w:val="000000"/>
                <w:kern w:val="0"/>
                <w:sz w:val="22"/>
                <w:szCs w:val="22"/>
              </w:rPr>
              <w:t>090100</w:t>
            </w:r>
          </w:p>
        </w:tc>
      </w:tr>
      <w:tr w:rsidR="00C26B79" w:rsidRPr="00AB1BAA" w:rsidTr="005B7AA6">
        <w:trPr>
          <w:trHeight w:val="413"/>
        </w:trPr>
        <w:tc>
          <w:tcPr>
            <w:tcW w:w="582" w:type="dxa"/>
            <w:vMerge/>
            <w:tcBorders>
              <w:left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552" w:type="dxa"/>
            <w:vMerge/>
            <w:tcBorders>
              <w:left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tcBorders>
              <w:left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p>
        </w:tc>
        <w:tc>
          <w:tcPr>
            <w:tcW w:w="708" w:type="dxa"/>
            <w:vMerge/>
            <w:tcBorders>
              <w:left w:val="single" w:sz="4" w:space="0" w:color="000000"/>
              <w:right w:val="single" w:sz="4" w:space="0" w:color="000000"/>
            </w:tcBorders>
            <w:vAlign w:val="center"/>
          </w:tcPr>
          <w:p w:rsidR="00C26B79" w:rsidRPr="00FD4270" w:rsidRDefault="00C26B79" w:rsidP="005B7AA6">
            <w:pPr>
              <w:widowControl/>
              <w:jc w:val="left"/>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FD4270" w:rsidRDefault="00C26B79" w:rsidP="005B7AA6">
            <w:pPr>
              <w:widowControl/>
              <w:jc w:val="left"/>
              <w:rPr>
                <w:rFonts w:ascii="宋体" w:hAnsi="宋体" w:cs="宋体"/>
                <w:color w:val="000000"/>
                <w:kern w:val="0"/>
                <w:szCs w:val="21"/>
              </w:rPr>
            </w:pPr>
            <w:r w:rsidRPr="00FD4270">
              <w:rPr>
                <w:rFonts w:ascii="宋体" w:hAnsi="宋体" w:cs="宋体" w:hint="eastAsia"/>
                <w:color w:val="000000"/>
                <w:kern w:val="0"/>
                <w:szCs w:val="21"/>
              </w:rPr>
              <w:t>计算机平面设计</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r w:rsidRPr="00454734">
              <w:rPr>
                <w:rFonts w:ascii="宋体" w:hAnsi="宋体" w:cs="宋体" w:hint="eastAsia"/>
                <w:color w:val="000000"/>
                <w:kern w:val="0"/>
                <w:sz w:val="22"/>
                <w:szCs w:val="22"/>
              </w:rPr>
              <w:t>090300</w:t>
            </w:r>
          </w:p>
        </w:tc>
      </w:tr>
      <w:tr w:rsidR="00C26B79" w:rsidRPr="00AB1BAA" w:rsidTr="005B7AA6">
        <w:trPr>
          <w:trHeight w:val="413"/>
        </w:trPr>
        <w:tc>
          <w:tcPr>
            <w:tcW w:w="582" w:type="dxa"/>
            <w:vMerge/>
            <w:tcBorders>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552" w:type="dxa"/>
            <w:vMerge/>
            <w:tcBorders>
              <w:left w:val="single" w:sz="4" w:space="0" w:color="000000"/>
              <w:bottom w:val="single" w:sz="4" w:space="0" w:color="000000"/>
              <w:right w:val="single" w:sz="4" w:space="0" w:color="000000"/>
            </w:tcBorders>
            <w:vAlign w:val="center"/>
          </w:tcPr>
          <w:p w:rsidR="00C26B79" w:rsidRPr="00D56055" w:rsidRDefault="00C26B79" w:rsidP="005B7AA6">
            <w:pPr>
              <w:widowControl/>
              <w:jc w:val="center"/>
              <w:rPr>
                <w:rFonts w:ascii="宋体" w:hAnsi="宋体" w:cs="宋体"/>
                <w:color w:val="000000"/>
                <w:kern w:val="0"/>
                <w:szCs w:val="21"/>
              </w:rPr>
            </w:pPr>
          </w:p>
        </w:tc>
        <w:tc>
          <w:tcPr>
            <w:tcW w:w="2410" w:type="dxa"/>
            <w:vMerge/>
            <w:tcBorders>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p>
        </w:tc>
        <w:tc>
          <w:tcPr>
            <w:tcW w:w="708" w:type="dxa"/>
            <w:vMerge/>
            <w:tcBorders>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r w:rsidRPr="00454734">
              <w:rPr>
                <w:rFonts w:ascii="宋体" w:hAnsi="宋体" w:cs="宋体" w:hint="eastAsia"/>
                <w:color w:val="000000"/>
                <w:kern w:val="0"/>
                <w:sz w:val="22"/>
                <w:szCs w:val="22"/>
              </w:rPr>
              <w:t>会计电算化</w:t>
            </w:r>
          </w:p>
        </w:tc>
        <w:tc>
          <w:tcPr>
            <w:tcW w:w="992" w:type="dxa"/>
            <w:tcBorders>
              <w:top w:val="single" w:sz="4" w:space="0" w:color="000000"/>
              <w:left w:val="single" w:sz="4" w:space="0" w:color="000000"/>
              <w:bottom w:val="single" w:sz="4" w:space="0" w:color="000000"/>
              <w:right w:val="single" w:sz="4" w:space="0" w:color="000000"/>
            </w:tcBorders>
            <w:vAlign w:val="center"/>
          </w:tcPr>
          <w:p w:rsidR="00C26B79" w:rsidRPr="00454734" w:rsidRDefault="00C26B79" w:rsidP="005B7AA6">
            <w:pPr>
              <w:widowControl/>
              <w:jc w:val="left"/>
              <w:rPr>
                <w:rFonts w:ascii="宋体" w:hAnsi="宋体" w:cs="宋体"/>
                <w:color w:val="000000"/>
                <w:kern w:val="0"/>
                <w:szCs w:val="22"/>
              </w:rPr>
            </w:pPr>
            <w:r w:rsidRPr="00454734">
              <w:rPr>
                <w:rFonts w:ascii="宋体" w:hAnsi="宋体" w:cs="宋体" w:hint="eastAsia"/>
                <w:color w:val="000000"/>
                <w:kern w:val="0"/>
                <w:sz w:val="22"/>
                <w:szCs w:val="22"/>
              </w:rPr>
              <w:t>120200</w:t>
            </w:r>
          </w:p>
        </w:tc>
      </w:tr>
    </w:tbl>
    <w:p w:rsidR="00C26B79" w:rsidRDefault="00C26B79" w:rsidP="00C26B79"/>
    <w:p w:rsidR="00E22E5D" w:rsidRDefault="00E22E5D" w:rsidP="00454734">
      <w:pPr>
        <w:ind w:firstLineChars="150" w:firstLine="540"/>
        <w:rPr>
          <w:rFonts w:ascii="仿宋" w:eastAsia="仿宋" w:hAnsi="仿宋"/>
          <w:sz w:val="36"/>
          <w:szCs w:val="36"/>
        </w:rPr>
      </w:pPr>
    </w:p>
    <w:sectPr w:rsidR="00E22E5D" w:rsidSect="00C26B79">
      <w:footerReference w:type="default" r:id="rId8"/>
      <w:pgSz w:w="11906" w:h="16838"/>
      <w:pgMar w:top="1418" w:right="1588" w:bottom="1418"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90" w:rsidRDefault="007B0690" w:rsidP="004019CC">
      <w:r>
        <w:separator/>
      </w:r>
    </w:p>
  </w:endnote>
  <w:endnote w:type="continuationSeparator" w:id="0">
    <w:p w:rsidR="007B0690" w:rsidRDefault="007B0690" w:rsidP="0040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瀹嬩綋">
    <w:altName w:val="宋体"/>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4" w:rsidRDefault="009E6743">
    <w:pPr>
      <w:pStyle w:val="a4"/>
      <w:framePr w:h="0" w:wrap="around" w:vAnchor="text" w:hAnchor="margin" w:xAlign="right" w:yAlign="top"/>
      <w:pBdr>
        <w:between w:val="none" w:sz="50" w:space="0" w:color="auto"/>
      </w:pBdr>
    </w:pPr>
    <w:r>
      <w:fldChar w:fldCharType="begin"/>
    </w:r>
    <w:r w:rsidR="00454734">
      <w:rPr>
        <w:rStyle w:val="a3"/>
      </w:rPr>
      <w:instrText xml:space="preserve"> PAGE  </w:instrText>
    </w:r>
    <w:r>
      <w:fldChar w:fldCharType="separate"/>
    </w:r>
    <w:r w:rsidR="006443AE">
      <w:rPr>
        <w:rStyle w:val="a3"/>
        <w:noProof/>
      </w:rPr>
      <w:t>10</w:t>
    </w:r>
    <w:r>
      <w:fldChar w:fldCharType="end"/>
    </w:r>
  </w:p>
  <w:p w:rsidR="00454734" w:rsidRDefault="0045473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90" w:rsidRDefault="007B0690" w:rsidP="004019CC">
      <w:r>
        <w:separator/>
      </w:r>
    </w:p>
  </w:footnote>
  <w:footnote w:type="continuationSeparator" w:id="0">
    <w:p w:rsidR="007B0690" w:rsidRDefault="007B0690" w:rsidP="00401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E67"/>
    <w:multiLevelType w:val="hybridMultilevel"/>
    <w:tmpl w:val="0772FDE0"/>
    <w:lvl w:ilvl="0" w:tplc="0D4EAB5A">
      <w:start w:val="1"/>
      <w:numFmt w:val="decimalEnclosedCircle"/>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F0D9A"/>
    <w:multiLevelType w:val="hybridMultilevel"/>
    <w:tmpl w:val="D34805E2"/>
    <w:lvl w:ilvl="0" w:tplc="86CA6C94">
      <w:start w:val="1"/>
      <w:numFmt w:val="decimalEnclosedCircle"/>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0F3CB2"/>
    <w:multiLevelType w:val="hybridMultilevel"/>
    <w:tmpl w:val="6A9A0366"/>
    <w:lvl w:ilvl="0" w:tplc="28F24578">
      <w:start w:val="1"/>
      <w:numFmt w:val="decimalEnclosedCircle"/>
      <w:lvlText w:val="第%1"/>
      <w:lvlJc w:val="left"/>
      <w:pPr>
        <w:ind w:left="1240" w:hanging="108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6A0D23"/>
    <w:rsid w:val="001A30A0"/>
    <w:rsid w:val="00235D3A"/>
    <w:rsid w:val="00323B43"/>
    <w:rsid w:val="003D37D8"/>
    <w:rsid w:val="003F7804"/>
    <w:rsid w:val="004019CC"/>
    <w:rsid w:val="004358AB"/>
    <w:rsid w:val="00454734"/>
    <w:rsid w:val="004606E3"/>
    <w:rsid w:val="004B6C60"/>
    <w:rsid w:val="004D4C41"/>
    <w:rsid w:val="004E5E8F"/>
    <w:rsid w:val="00527CBE"/>
    <w:rsid w:val="006443AE"/>
    <w:rsid w:val="006A0D23"/>
    <w:rsid w:val="00765E42"/>
    <w:rsid w:val="007B0690"/>
    <w:rsid w:val="008A6E2B"/>
    <w:rsid w:val="008B7726"/>
    <w:rsid w:val="009E6743"/>
    <w:rsid w:val="00C26B79"/>
    <w:rsid w:val="00C43EF4"/>
    <w:rsid w:val="00C823C3"/>
    <w:rsid w:val="00E044BD"/>
    <w:rsid w:val="00E22E5D"/>
    <w:rsid w:val="00E47822"/>
    <w:rsid w:val="00EF1448"/>
    <w:rsid w:val="00F91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23"/>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A0D23"/>
  </w:style>
  <w:style w:type="paragraph" w:styleId="a4">
    <w:name w:val="footer"/>
    <w:basedOn w:val="a"/>
    <w:link w:val="Char"/>
    <w:rsid w:val="006A0D23"/>
    <w:pPr>
      <w:tabs>
        <w:tab w:val="center" w:pos="4153"/>
        <w:tab w:val="right" w:pos="8306"/>
      </w:tabs>
      <w:snapToGrid w:val="0"/>
      <w:jc w:val="left"/>
    </w:pPr>
    <w:rPr>
      <w:sz w:val="18"/>
    </w:rPr>
  </w:style>
  <w:style w:type="character" w:customStyle="1" w:styleId="Char">
    <w:name w:val="页脚 Char"/>
    <w:basedOn w:val="a0"/>
    <w:link w:val="a4"/>
    <w:rsid w:val="006A0D23"/>
    <w:rPr>
      <w:rFonts w:ascii="Times New Roman" w:eastAsia="宋体" w:hAnsi="Times New Roman" w:cs="Times New Roman"/>
      <w:kern w:val="2"/>
      <w:sz w:val="18"/>
      <w:szCs w:val="20"/>
    </w:rPr>
  </w:style>
  <w:style w:type="paragraph" w:styleId="a5">
    <w:name w:val="Balloon Text"/>
    <w:basedOn w:val="a"/>
    <w:link w:val="Char0"/>
    <w:uiPriority w:val="99"/>
    <w:semiHidden/>
    <w:unhideWhenUsed/>
    <w:rsid w:val="006A0D23"/>
    <w:rPr>
      <w:sz w:val="18"/>
      <w:szCs w:val="18"/>
    </w:rPr>
  </w:style>
  <w:style w:type="character" w:customStyle="1" w:styleId="Char0">
    <w:name w:val="批注框文本 Char"/>
    <w:basedOn w:val="a0"/>
    <w:link w:val="a5"/>
    <w:uiPriority w:val="99"/>
    <w:semiHidden/>
    <w:rsid w:val="006A0D23"/>
    <w:rPr>
      <w:rFonts w:ascii="Times New Roman" w:eastAsia="宋体" w:hAnsi="Times New Roman" w:cs="Times New Roman"/>
      <w:kern w:val="2"/>
      <w:sz w:val="18"/>
      <w:szCs w:val="18"/>
    </w:rPr>
  </w:style>
  <w:style w:type="paragraph" w:styleId="a6">
    <w:name w:val="List Paragraph"/>
    <w:basedOn w:val="a"/>
    <w:uiPriority w:val="34"/>
    <w:qFormat/>
    <w:rsid w:val="006A0D23"/>
    <w:pPr>
      <w:ind w:firstLineChars="200" w:firstLine="420"/>
    </w:pPr>
  </w:style>
  <w:style w:type="paragraph" w:styleId="a7">
    <w:name w:val="header"/>
    <w:basedOn w:val="a"/>
    <w:link w:val="Char1"/>
    <w:unhideWhenUsed/>
    <w:rsid w:val="001A30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1A30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738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984</Words>
  <Characters>5611</Characters>
  <Application>Microsoft Office Word</Application>
  <DocSecurity>0</DocSecurity>
  <Lines>46</Lines>
  <Paragraphs>13</Paragraphs>
  <ScaleCrop>false</ScaleCrop>
  <Company>Microsoft</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2016-05-08T12:30:00Z</dcterms:created>
  <dcterms:modified xsi:type="dcterms:W3CDTF">2016-05-10T02:14:00Z</dcterms:modified>
</cp:coreProperties>
</file>